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D" w:rsidRDefault="003F1ECD">
      <w:pPr>
        <w:pStyle w:val="BodyText"/>
        <w:rPr>
          <w:sz w:val="20"/>
        </w:rPr>
      </w:pPr>
    </w:p>
    <w:p w:rsidR="00AA7765" w:rsidRDefault="00AA7765">
      <w:pPr>
        <w:pStyle w:val="BodyText"/>
        <w:rPr>
          <w:sz w:val="20"/>
        </w:rPr>
      </w:pPr>
    </w:p>
    <w:p w:rsidR="00AA7765" w:rsidRDefault="00AA7765">
      <w:pPr>
        <w:pStyle w:val="BodyText"/>
        <w:rPr>
          <w:sz w:val="20"/>
        </w:rPr>
      </w:pPr>
    </w:p>
    <w:p w:rsidR="00AA7765" w:rsidRDefault="00AA7765">
      <w:pPr>
        <w:pStyle w:val="BodyText"/>
        <w:rPr>
          <w:sz w:val="20"/>
        </w:rPr>
      </w:pPr>
    </w:p>
    <w:p w:rsidR="00AA7765" w:rsidRDefault="00FC37FE" w:rsidP="00AA7765">
      <w:pPr>
        <w:spacing w:before="79"/>
        <w:ind w:left="2357"/>
        <w:rPr>
          <w:color w:val="15A589"/>
          <w:sz w:val="30"/>
        </w:rPr>
      </w:pPr>
      <w:r>
        <w:rPr>
          <w:color w:val="FFFFFF"/>
          <w:sz w:val="34"/>
        </w:rPr>
        <w:t>Pros</w:t>
      </w:r>
      <w:r>
        <w:rPr>
          <w:color w:val="FFFFFF"/>
          <w:sz w:val="34"/>
        </w:rPr>
        <w:tab/>
      </w:r>
      <w:r w:rsidR="00AA7765" w:rsidRPr="00D40198">
        <w:rPr>
          <w:b/>
          <w:color w:val="15A589"/>
          <w:sz w:val="44"/>
        </w:rPr>
        <w:t>Investing in Gold Coins:</w:t>
      </w:r>
    </w:p>
    <w:p w:rsidR="00D40198" w:rsidRDefault="00D40198" w:rsidP="00AA7765">
      <w:pPr>
        <w:spacing w:before="79"/>
        <w:ind w:left="2357"/>
        <w:rPr>
          <w:sz w:val="30"/>
        </w:rPr>
      </w:pPr>
    </w:p>
    <w:p w:rsidR="00D40198" w:rsidRDefault="00D40198" w:rsidP="00AA7765">
      <w:pPr>
        <w:spacing w:before="79"/>
        <w:ind w:left="2357"/>
        <w:rPr>
          <w:sz w:val="30"/>
        </w:rPr>
      </w:pPr>
    </w:p>
    <w:p w:rsidR="00AA7765" w:rsidRDefault="00AA7765" w:rsidP="00AA7765">
      <w:pPr>
        <w:tabs>
          <w:tab w:val="left" w:pos="5192"/>
        </w:tabs>
        <w:spacing w:before="90"/>
        <w:ind w:left="4319" w:firstLine="3601"/>
        <w:rPr>
          <w:color w:val="FFFFFF"/>
          <w:sz w:val="34"/>
        </w:rPr>
      </w:pPr>
      <w:r w:rsidRPr="003F1ECD">
        <w:pict>
          <v:group id="_x0000_s1026" style="position:absolute;left:0;text-align:left;margin-left:41.7pt;margin-top:1.15pt;width:534.35pt;height:465.6pt;z-index:-251658240;mso-position-horizontal-relative:page" coordorigin="297,-627" coordsize="7318,6842">
            <v:shape id="_x0000_s1031" style="position:absolute;left:296;top:-628;width:3659;height:6842" coordorigin="297,-627" coordsize="3659,6842" path="m3743,-627r-3233,l442,-616r-58,30l338,-540r-30,58l297,-415r,6417l308,6069r30,58l384,6173r58,31l510,6214r3233,l3810,6204r59,-31l3915,6127r30,-58l3956,6002r,-6417l3945,-482r-30,-58l3869,-586r-59,-30l3743,-627xe" fillcolor="#4fb6c1" stroked="f">
              <v:path arrowok="t"/>
            </v:shape>
            <v:shape id="_x0000_s1030" style="position:absolute;left:502;top:1416;width:3249;height:4593" coordorigin="502,1417" coordsize="3249,4593" path="m3580,1417r-2908,l606,1430r-54,37l516,1521r-14,66l502,5839r14,66l552,5959r54,37l672,6009r2908,l3646,5996r54,-37l3737,5905r13,-66l3750,1587r-13,-66l3700,1467r-54,-37l3580,1417xe" stroked="f">
              <v:path arrowok="t"/>
            </v:shape>
            <v:shape id="_x0000_s1029" style="position:absolute;left:3955;top:-628;width:3659;height:6842" coordorigin="3956,-627" coordsize="3659,6842" path="m7402,-627r-3234,l4101,-616r-58,30l3997,-540r-31,58l3956,-415r,6417l3966,6069r31,58l4043,6173r58,31l4168,6214r3234,l7469,6204r58,-31l7573,6127r30,-58l7614,6002r,-6417l7603,-482r-30,-58l7527,-586r-58,-30l7402,-627xe" fillcolor="#4fb6c1" stroked="f">
              <v:path arrowok="t"/>
            </v:shape>
            <v:shape id="_x0000_s1028" style="position:absolute;left:4160;top:1416;width:3249;height:4593" coordorigin="4161,1417" coordsize="3249,4593" path="m7239,1417r-2908,l4265,1430r-54,37l4174,1521r-13,66l4161,5839r13,66l4211,5959r54,37l4331,6009r2908,l7305,5996r54,-37l7396,5905r13,-66l7409,1587r-13,-66l7359,1467r-54,-37l7239,1417xe" stroked="f">
              <v:path arrowok="t"/>
            </v:shape>
            <v:shape id="_x0000_s1027" style="position:absolute;left:3151;top:1447;width:4183;height:4198" coordorigin="3151,1447" coordsize="4183,4198" o:spt="100" adj="0,,0" path="m3695,1647r-17,-18l3673,1624r-35,-33l3594,1559r-31,l3557,1572r1,14l3559,1595r-6,18l3529,1624r-38,-13l3459,1586r-1,l3447,1559r11,-20l3472,1531r12,-6l3489,1512r-22,-23l3419,1468r-49,-15l3349,1447r-5,22l3330,1518r-21,47l3283,1586r-11,-5l3268,1570r-5,-13l3246,1545r-34,4l3185,1576r-13,37l3178,1645r16,10l3213,1656r17,2l3240,1671r-10,35l3199,1744r-33,30l3151,1786r13,15l3195,1834r39,32l3271,1880r15,-7l3287,1859r-1,-18l3294,1821r29,-8l3363,1827r30,26l3394,1884r-13,11l3367,1903r-9,11l3358,1933r26,21l3431,1972r45,12l3497,1988r3,-24l3512,1914r22,-50l3569,1846r11,7l3586,1865r6,14l3605,1890r26,-5l3656,1857r5,-11l3672,1820r-2,-7l3667,1789r-13,-8l3650,1778r-17,1l3618,1781r-11,-8l3610,1734r31,-41l3677,1660r18,-13m7333,5263r-2,-54l7317,5176r-8,-18l7274,5132r-27,6l7231,5155r-13,17l7199,5176r-33,-39l7163,5133r-10,-72l7157,4993r4,-30l7126,4962r-77,1l6974,4976r-31,31l6949,5026r12,9l6974,5047r13,22l6973,5105r-50,25l6865,5137r-37,-16l6818,5091r7,-22l6831,5051r-8,-18l6778,5032r-69,27l6646,5092r-27,16l6636,5135r35,61l6697,5265r-6,47l6676,5317r-15,-7l6643,5303r-29,5l6584,5345r1,53l6608,5448r37,26l6672,5468r20,-18l6711,5435r22,3l6758,5484r7,68l6762,5613r-3,27l6787,5643r63,2l6921,5638r51,-24l6979,5593r-12,-15l6948,5561r-12,-27l6957,5496r53,-25l7066,5467r31,29l7098,5498r-2,22l7090,5542r1,20l7111,5580r47,-4l7222,5547r56,-33l7303,5498r-20,-27l7281,5467r-20,-32l7245,5409r-27,-71l7224,5317r9,-31l7251,5281r18,7l7289,5296r24,-2l7321,5281r12,-18e" fillcolor="#cde6c6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AA7765" w:rsidRDefault="00AA7765" w:rsidP="00AA7765">
      <w:pPr>
        <w:tabs>
          <w:tab w:val="left" w:pos="5192"/>
        </w:tabs>
        <w:spacing w:before="90"/>
        <w:ind w:left="4319" w:firstLine="3601"/>
        <w:rPr>
          <w:color w:val="FFFFFF"/>
          <w:sz w:val="34"/>
        </w:rPr>
      </w:pPr>
    </w:p>
    <w:p w:rsidR="003F1ECD" w:rsidRPr="00D40198" w:rsidRDefault="00AA7765" w:rsidP="00AA7765">
      <w:pPr>
        <w:tabs>
          <w:tab w:val="left" w:pos="5192"/>
        </w:tabs>
        <w:spacing w:before="90"/>
        <w:ind w:left="4319" w:hanging="2519"/>
        <w:rPr>
          <w:b/>
          <w:sz w:val="52"/>
        </w:rPr>
      </w:pPr>
      <w:r w:rsidRPr="00D40198">
        <w:rPr>
          <w:b/>
          <w:color w:val="FFFFFF"/>
          <w:sz w:val="52"/>
        </w:rPr>
        <w:t>PROS</w:t>
      </w:r>
      <w:r w:rsidRPr="00D40198">
        <w:rPr>
          <w:b/>
          <w:color w:val="FFFFFF"/>
          <w:sz w:val="52"/>
        </w:rPr>
        <w:tab/>
      </w:r>
      <w:r w:rsidRPr="00D40198">
        <w:rPr>
          <w:b/>
          <w:color w:val="FFFFFF"/>
          <w:sz w:val="52"/>
        </w:rPr>
        <w:tab/>
      </w:r>
      <w:r w:rsidRPr="00D40198">
        <w:rPr>
          <w:b/>
          <w:color w:val="FFFFFF"/>
          <w:sz w:val="52"/>
        </w:rPr>
        <w:tab/>
      </w:r>
      <w:r w:rsidRPr="00D40198">
        <w:rPr>
          <w:b/>
          <w:color w:val="FFFFFF"/>
          <w:sz w:val="52"/>
        </w:rPr>
        <w:tab/>
      </w:r>
      <w:r w:rsidRPr="00D40198">
        <w:rPr>
          <w:b/>
          <w:color w:val="FFFFFF"/>
          <w:sz w:val="52"/>
        </w:rPr>
        <w:tab/>
      </w:r>
      <w:r w:rsidRPr="00D40198">
        <w:rPr>
          <w:b/>
          <w:color w:val="FFFFFF"/>
          <w:sz w:val="52"/>
        </w:rPr>
        <w:tab/>
      </w:r>
      <w:r w:rsidRPr="00D40198">
        <w:rPr>
          <w:b/>
          <w:color w:val="FFFFFF"/>
          <w:sz w:val="52"/>
        </w:rPr>
        <w:tab/>
      </w:r>
      <w:r w:rsidR="00FC37FE" w:rsidRPr="00D40198">
        <w:rPr>
          <w:b/>
          <w:color w:val="FFFFFF"/>
          <w:sz w:val="52"/>
        </w:rPr>
        <w:t>C</w:t>
      </w:r>
      <w:r w:rsidRPr="00D40198">
        <w:rPr>
          <w:b/>
          <w:color w:val="FFFFFF"/>
          <w:sz w:val="52"/>
        </w:rPr>
        <w:t>ONS</w:t>
      </w:r>
    </w:p>
    <w:p w:rsidR="003F1ECD" w:rsidRDefault="003F1ECD">
      <w:pPr>
        <w:pStyle w:val="BodyText"/>
        <w:rPr>
          <w:sz w:val="20"/>
        </w:rPr>
      </w:pPr>
    </w:p>
    <w:p w:rsidR="00AA7765" w:rsidRDefault="00AA7765" w:rsidP="00AA7765">
      <w:pPr>
        <w:pStyle w:val="Heading1"/>
        <w:spacing w:before="143"/>
        <w:sectPr w:rsidR="00AA7765" w:rsidSect="00AA7765">
          <w:type w:val="continuous"/>
          <w:pgSz w:w="12240" w:h="15840" w:code="1"/>
          <w:pgMar w:top="420" w:right="180" w:bottom="0" w:left="180" w:header="720" w:footer="720" w:gutter="0"/>
          <w:cols w:space="720"/>
          <w:docGrid w:linePitch="299"/>
        </w:sectPr>
      </w:pPr>
    </w:p>
    <w:p w:rsidR="00AA7765" w:rsidRDefault="00AA7765" w:rsidP="00AA7765">
      <w:pPr>
        <w:pStyle w:val="Heading1"/>
        <w:spacing w:before="143"/>
        <w:ind w:left="1440"/>
      </w:pPr>
    </w:p>
    <w:p w:rsidR="00AA7765" w:rsidRDefault="00AA7765" w:rsidP="00AA7765">
      <w:pPr>
        <w:pStyle w:val="Heading1"/>
        <w:spacing w:before="143"/>
        <w:ind w:left="1440"/>
      </w:pPr>
    </w:p>
    <w:p w:rsidR="00AA7765" w:rsidRDefault="00AA7765" w:rsidP="00AA7765">
      <w:pPr>
        <w:pStyle w:val="Heading1"/>
        <w:spacing w:before="143"/>
        <w:ind w:left="1440"/>
      </w:pPr>
    </w:p>
    <w:p w:rsidR="00AA7765" w:rsidRDefault="00AA7765" w:rsidP="00AA7765">
      <w:pPr>
        <w:pStyle w:val="Heading1"/>
        <w:spacing w:before="143"/>
        <w:ind w:left="1440"/>
      </w:pPr>
    </w:p>
    <w:p w:rsidR="00AA7765" w:rsidRDefault="00AA7765" w:rsidP="00AA7765">
      <w:pPr>
        <w:pStyle w:val="Heading1"/>
        <w:spacing w:before="143"/>
        <w:ind w:left="1440"/>
      </w:pPr>
    </w:p>
    <w:p w:rsidR="00AA7765" w:rsidRDefault="00AA7765" w:rsidP="00AA7765">
      <w:pPr>
        <w:pStyle w:val="Heading1"/>
        <w:spacing w:before="143"/>
        <w:ind w:left="1440"/>
      </w:pPr>
    </w:p>
    <w:p w:rsidR="00AA7765" w:rsidRDefault="00AA7765" w:rsidP="00AA7765">
      <w:pPr>
        <w:pStyle w:val="Heading1"/>
        <w:spacing w:before="143"/>
        <w:ind w:left="1440"/>
      </w:pPr>
    </w:p>
    <w:p w:rsidR="00AA7765" w:rsidRDefault="00AA7765" w:rsidP="00AA7765">
      <w:pPr>
        <w:pStyle w:val="Heading1"/>
        <w:spacing w:before="143"/>
        <w:ind w:left="1440"/>
      </w:pPr>
    </w:p>
    <w:p w:rsidR="00AA7765" w:rsidRDefault="00AA7765" w:rsidP="00AA7765">
      <w:pPr>
        <w:pStyle w:val="Heading1"/>
        <w:spacing w:before="143"/>
        <w:ind w:left="1440"/>
      </w:pPr>
      <w:r>
        <w:t>Easy to Store</w:t>
      </w:r>
    </w:p>
    <w:p w:rsidR="00AA7765" w:rsidRDefault="00AA7765" w:rsidP="00AA7765">
      <w:pPr>
        <w:pStyle w:val="BodyText"/>
        <w:spacing w:before="3"/>
        <w:ind w:left="1440"/>
        <w:rPr>
          <w:sz w:val="21"/>
        </w:rPr>
      </w:pPr>
    </w:p>
    <w:p w:rsidR="00AA7765" w:rsidRDefault="00AA7765" w:rsidP="00AA7765">
      <w:pPr>
        <w:pStyle w:val="BodyText"/>
        <w:spacing w:line="264" w:lineRule="auto"/>
        <w:ind w:left="1440"/>
      </w:pPr>
      <w:r>
        <w:rPr>
          <w:w w:val="105"/>
        </w:rPr>
        <w:t>Big</w:t>
      </w:r>
      <w:r>
        <w:rPr>
          <w:spacing w:val="-13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required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take exposure as it's available in smaller denominations</w:t>
      </w:r>
    </w:p>
    <w:p w:rsidR="00AA7765" w:rsidRDefault="00AA7765" w:rsidP="00AA7765">
      <w:pPr>
        <w:pStyle w:val="BodyText"/>
        <w:spacing w:before="8"/>
        <w:ind w:left="1440"/>
        <w:rPr>
          <w:sz w:val="19"/>
        </w:rPr>
      </w:pPr>
    </w:p>
    <w:p w:rsidR="00AA7765" w:rsidRDefault="00AA7765" w:rsidP="00AA7765">
      <w:pPr>
        <w:pStyle w:val="BodyText"/>
        <w:ind w:left="1440"/>
      </w:pPr>
      <w:r>
        <w:rPr>
          <w:w w:val="105"/>
        </w:rPr>
        <w:t>Value is quite comparable to</w:t>
      </w: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  <w:proofErr w:type="gramStart"/>
      <w:r>
        <w:rPr>
          <w:w w:val="105"/>
        </w:rPr>
        <w:t>international</w:t>
      </w:r>
      <w:proofErr w:type="gramEnd"/>
      <w:r>
        <w:rPr>
          <w:w w:val="105"/>
        </w:rPr>
        <w:t xml:space="preserve"> gold price.</w:t>
      </w: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ind w:left="1440"/>
      </w:pPr>
      <w:r>
        <w:rPr>
          <w:w w:val="105"/>
        </w:rPr>
        <w:t>One of the most recognized and</w:t>
      </w:r>
    </w:p>
    <w:p w:rsidR="00AA7765" w:rsidRDefault="00AA7765" w:rsidP="00AA7765">
      <w:pPr>
        <w:pStyle w:val="BodyText"/>
        <w:spacing w:before="19"/>
        <w:ind w:left="1440"/>
      </w:pPr>
      <w:proofErr w:type="gramStart"/>
      <w:r>
        <w:rPr>
          <w:w w:val="105"/>
        </w:rPr>
        <w:t>reliable</w:t>
      </w:r>
      <w:proofErr w:type="gramEnd"/>
      <w:r>
        <w:rPr>
          <w:w w:val="105"/>
        </w:rPr>
        <w:t xml:space="preserve"> way to invest in gold.</w:t>
      </w:r>
    </w:p>
    <w:p w:rsidR="00AA7765" w:rsidRDefault="00AA7765" w:rsidP="00AA7765">
      <w:pPr>
        <w:pStyle w:val="BodyText"/>
        <w:ind w:left="1440"/>
        <w:rPr>
          <w:sz w:val="20"/>
        </w:rPr>
      </w:pPr>
    </w:p>
    <w:p w:rsidR="00AA7765" w:rsidRDefault="00AA7765" w:rsidP="00AA7765">
      <w:pPr>
        <w:pStyle w:val="BodyText"/>
        <w:ind w:left="1440"/>
        <w:rPr>
          <w:sz w:val="20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  <w:rPr>
          <w:w w:val="105"/>
        </w:rPr>
      </w:pPr>
    </w:p>
    <w:p w:rsidR="00AA7765" w:rsidRDefault="00AA7765" w:rsidP="00AA7765">
      <w:pPr>
        <w:pStyle w:val="BodyText"/>
        <w:spacing w:line="264" w:lineRule="auto"/>
        <w:ind w:left="810" w:right="1080"/>
      </w:pPr>
      <w:r>
        <w:rPr>
          <w:w w:val="105"/>
        </w:rPr>
        <w:t>You pay a premium of 4% to 10% while buying and same percent is discounted while selling resulting in lesser overall return.</w:t>
      </w:r>
    </w:p>
    <w:p w:rsidR="00AA7765" w:rsidRDefault="00AA7765" w:rsidP="00AA7765">
      <w:pPr>
        <w:pStyle w:val="BodyText"/>
        <w:spacing w:before="7"/>
        <w:ind w:left="810" w:right="1080"/>
        <w:rPr>
          <w:sz w:val="19"/>
        </w:rPr>
      </w:pPr>
    </w:p>
    <w:p w:rsidR="00AA7765" w:rsidRDefault="00AA7765" w:rsidP="00AA7765">
      <w:pPr>
        <w:pStyle w:val="BodyText"/>
        <w:ind w:left="810" w:right="1080"/>
      </w:pPr>
      <w:r>
        <w:rPr>
          <w:w w:val="105"/>
        </w:rPr>
        <w:t>You own it in physical form, so threat</w:t>
      </w:r>
    </w:p>
    <w:p w:rsidR="00AA7765" w:rsidRDefault="00AA7765" w:rsidP="00AA7765">
      <w:pPr>
        <w:pStyle w:val="Heading1"/>
        <w:ind w:left="810" w:right="1080"/>
      </w:pPr>
      <w:proofErr w:type="gramStart"/>
      <w:r>
        <w:t>of</w:t>
      </w:r>
      <w:proofErr w:type="gramEnd"/>
      <w:r>
        <w:t xml:space="preserve"> theft.</w:t>
      </w: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  <w:rPr>
          <w:w w:val="105"/>
        </w:rPr>
      </w:pPr>
    </w:p>
    <w:p w:rsidR="00AA7765" w:rsidRDefault="00AA7765" w:rsidP="00AA7765">
      <w:pPr>
        <w:pStyle w:val="BodyText"/>
        <w:spacing w:before="20"/>
        <w:ind w:left="1440"/>
      </w:pPr>
    </w:p>
    <w:p w:rsidR="00AA7765" w:rsidRDefault="00AA7765" w:rsidP="00AA7765">
      <w:pPr>
        <w:pStyle w:val="BodyText"/>
        <w:spacing w:before="5"/>
        <w:ind w:left="1440"/>
        <w:rPr>
          <w:sz w:val="21"/>
        </w:rPr>
      </w:pPr>
    </w:p>
    <w:p w:rsidR="003F1ECD" w:rsidRDefault="003F1ECD">
      <w:pPr>
        <w:rPr>
          <w:sz w:val="20"/>
        </w:rPr>
        <w:sectPr w:rsidR="003F1ECD" w:rsidSect="00AA7765">
          <w:type w:val="continuous"/>
          <w:pgSz w:w="12240" w:h="15840" w:code="1"/>
          <w:pgMar w:top="420" w:right="180" w:bottom="0" w:left="180" w:header="720" w:footer="720" w:gutter="0"/>
          <w:cols w:num="2" w:space="720"/>
          <w:docGrid w:linePitch="299"/>
        </w:sectPr>
      </w:pPr>
    </w:p>
    <w:p w:rsidR="003F1ECD" w:rsidRDefault="003F1ECD">
      <w:pPr>
        <w:pStyle w:val="BodyText"/>
        <w:rPr>
          <w:sz w:val="20"/>
        </w:rPr>
      </w:pPr>
    </w:p>
    <w:p w:rsidR="00AA7765" w:rsidRDefault="00AA7765">
      <w:pPr>
        <w:rPr>
          <w:sz w:val="19"/>
          <w:szCs w:val="19"/>
        </w:rPr>
      </w:pPr>
      <w:r>
        <w:br w:type="page"/>
      </w:r>
    </w:p>
    <w:p w:rsidR="00AA7765" w:rsidRDefault="00AA7765">
      <w:pPr>
        <w:rPr>
          <w:sz w:val="19"/>
          <w:szCs w:val="19"/>
        </w:rPr>
      </w:pPr>
      <w:r>
        <w:lastRenderedPageBreak/>
        <w:br w:type="page"/>
      </w:r>
    </w:p>
    <w:p w:rsidR="003F1ECD" w:rsidRDefault="00FC37FE">
      <w:pPr>
        <w:pStyle w:val="Heading1"/>
        <w:spacing w:before="143"/>
      </w:pPr>
      <w:r>
        <w:lastRenderedPageBreak/>
        <w:t>Easy to Store</w:t>
      </w:r>
    </w:p>
    <w:p w:rsidR="003F1ECD" w:rsidRDefault="003F1ECD">
      <w:pPr>
        <w:pStyle w:val="BodyText"/>
        <w:spacing w:before="3"/>
        <w:rPr>
          <w:sz w:val="21"/>
        </w:rPr>
      </w:pPr>
    </w:p>
    <w:p w:rsidR="003F1ECD" w:rsidRDefault="00FC37FE">
      <w:pPr>
        <w:pStyle w:val="BodyText"/>
        <w:spacing w:line="264" w:lineRule="auto"/>
        <w:ind w:left="372"/>
      </w:pPr>
      <w:r>
        <w:rPr>
          <w:w w:val="105"/>
        </w:rPr>
        <w:t>Big</w:t>
      </w:r>
      <w:r>
        <w:rPr>
          <w:spacing w:val="-13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required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take exposure as it's available in smaller denominations</w:t>
      </w:r>
    </w:p>
    <w:p w:rsidR="003F1ECD" w:rsidRDefault="003F1ECD">
      <w:pPr>
        <w:pStyle w:val="BodyText"/>
        <w:spacing w:before="8"/>
        <w:rPr>
          <w:sz w:val="19"/>
        </w:rPr>
      </w:pPr>
    </w:p>
    <w:p w:rsidR="003F1ECD" w:rsidRDefault="00FC37FE">
      <w:pPr>
        <w:pStyle w:val="BodyText"/>
        <w:ind w:left="372"/>
      </w:pPr>
      <w:r>
        <w:rPr>
          <w:w w:val="105"/>
        </w:rPr>
        <w:t>Value is quite comparable to</w:t>
      </w:r>
    </w:p>
    <w:p w:rsidR="003F1ECD" w:rsidRDefault="00FC37FE">
      <w:pPr>
        <w:pStyle w:val="BodyText"/>
        <w:spacing w:before="20"/>
        <w:ind w:left="372"/>
      </w:pPr>
      <w:proofErr w:type="gramStart"/>
      <w:r>
        <w:rPr>
          <w:w w:val="105"/>
        </w:rPr>
        <w:t>international</w:t>
      </w:r>
      <w:proofErr w:type="gramEnd"/>
      <w:r>
        <w:rPr>
          <w:w w:val="105"/>
        </w:rPr>
        <w:t xml:space="preserve"> gold price.</w:t>
      </w:r>
    </w:p>
    <w:p w:rsidR="003F1ECD" w:rsidRDefault="003F1ECD">
      <w:pPr>
        <w:pStyle w:val="BodyText"/>
        <w:spacing w:before="5"/>
        <w:rPr>
          <w:sz w:val="21"/>
        </w:rPr>
      </w:pPr>
    </w:p>
    <w:p w:rsidR="003F1ECD" w:rsidRDefault="00FC37FE">
      <w:pPr>
        <w:pStyle w:val="BodyText"/>
        <w:ind w:left="372"/>
      </w:pPr>
      <w:r>
        <w:rPr>
          <w:w w:val="105"/>
        </w:rPr>
        <w:t>One of the most recognized and</w:t>
      </w:r>
    </w:p>
    <w:p w:rsidR="003F1ECD" w:rsidRDefault="00FC37FE">
      <w:pPr>
        <w:pStyle w:val="BodyText"/>
        <w:spacing w:before="19"/>
        <w:ind w:left="372"/>
      </w:pPr>
      <w:proofErr w:type="gramStart"/>
      <w:r>
        <w:rPr>
          <w:w w:val="105"/>
        </w:rPr>
        <w:t>reliable</w:t>
      </w:r>
      <w:proofErr w:type="gramEnd"/>
      <w:r>
        <w:rPr>
          <w:w w:val="105"/>
        </w:rPr>
        <w:t xml:space="preserve"> way to invest in gold.</w:t>
      </w:r>
    </w:p>
    <w:p w:rsidR="003F1ECD" w:rsidRDefault="00FC37FE">
      <w:pPr>
        <w:pStyle w:val="BodyText"/>
        <w:spacing w:before="10"/>
        <w:rPr>
          <w:sz w:val="20"/>
        </w:rPr>
      </w:pPr>
      <w:r>
        <w:br w:type="column"/>
      </w:r>
    </w:p>
    <w:p w:rsidR="003F1ECD" w:rsidRDefault="00FC37FE">
      <w:pPr>
        <w:pStyle w:val="BodyText"/>
        <w:spacing w:line="264" w:lineRule="auto"/>
        <w:ind w:left="372" w:right="543"/>
      </w:pPr>
      <w:r>
        <w:rPr>
          <w:w w:val="105"/>
        </w:rPr>
        <w:t>You pay a premium of 4% to 10% while buying and same percent is discounted while selling resulting in lesser overall return.</w:t>
      </w:r>
    </w:p>
    <w:p w:rsidR="003F1ECD" w:rsidRDefault="003F1ECD">
      <w:pPr>
        <w:pStyle w:val="BodyText"/>
        <w:spacing w:before="7"/>
        <w:rPr>
          <w:sz w:val="19"/>
        </w:rPr>
      </w:pPr>
    </w:p>
    <w:p w:rsidR="003F1ECD" w:rsidRDefault="00FC37FE">
      <w:pPr>
        <w:pStyle w:val="BodyText"/>
        <w:ind w:left="372"/>
      </w:pPr>
      <w:r>
        <w:rPr>
          <w:w w:val="105"/>
        </w:rPr>
        <w:t>You own it in physical form, so threat</w:t>
      </w:r>
    </w:p>
    <w:p w:rsidR="003F1ECD" w:rsidRDefault="00FC37FE">
      <w:pPr>
        <w:pStyle w:val="Heading1"/>
      </w:pPr>
      <w:proofErr w:type="gramStart"/>
      <w:r>
        <w:t>of</w:t>
      </w:r>
      <w:proofErr w:type="gramEnd"/>
      <w:r>
        <w:t xml:space="preserve"> theft.</w:t>
      </w:r>
    </w:p>
    <w:sectPr w:rsidR="003F1ECD" w:rsidSect="00AA7765">
      <w:type w:val="continuous"/>
      <w:pgSz w:w="12240" w:h="15840" w:code="1"/>
      <w:pgMar w:top="420" w:right="180" w:bottom="0" w:left="180" w:header="720" w:footer="720" w:gutter="0"/>
      <w:cols w:num="2" w:space="720" w:equalWidth="0">
        <w:col w:w="3430" w:space="242"/>
        <w:col w:w="3888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F1ECD"/>
    <w:rsid w:val="000F2A19"/>
    <w:rsid w:val="003F1ECD"/>
    <w:rsid w:val="00AA7765"/>
    <w:rsid w:val="00D40198"/>
    <w:rsid w:val="00FC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1ECD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3F1ECD"/>
    <w:pPr>
      <w:spacing w:before="10"/>
      <w:ind w:left="372"/>
      <w:outlineLvl w:val="0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F1ECD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3F1ECD"/>
  </w:style>
  <w:style w:type="paragraph" w:customStyle="1" w:styleId="TableParagraph">
    <w:name w:val="Table Paragraph"/>
    <w:basedOn w:val="Normal"/>
    <w:uiPriority w:val="1"/>
    <w:qFormat/>
    <w:rsid w:val="003F1ECD"/>
  </w:style>
  <w:style w:type="paragraph" w:styleId="BalloonText">
    <w:name w:val="Balloon Text"/>
    <w:basedOn w:val="Normal"/>
    <w:link w:val="BalloonTextChar"/>
    <w:uiPriority w:val="99"/>
    <w:semiHidden/>
    <w:unhideWhenUsed/>
    <w:rsid w:val="00AA7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6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152</Words>
  <Characters>870</Characters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