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71.400299pt;margin-top:35.847717pt;width:118.65pt;height:15.45pt;mso-position-horizontal-relative:page;mso-position-vertical-relative:page;z-index:-251905024" type="#_x0000_t202" filled="false" stroked="false">
            <v:textbox inset="0,0,0,0">
              <w:txbxContent>
                <w:p>
                  <w:pPr>
                    <w:spacing w:before="12"/>
                    <w:ind w:left="20" w:right="0" w:firstLine="0"/>
                    <w:jc w:val="left"/>
                    <w:rPr>
                      <w:sz w:val="24"/>
                    </w:rPr>
                  </w:pPr>
                  <w:r>
                    <w:rPr>
                      <w:sz w:val="24"/>
                    </w:rPr>
                    <w:t>Rent-to-Own Contract</w:t>
                  </w:r>
                </w:p>
              </w:txbxContent>
            </v:textbox>
            <w10:wrap type="none"/>
          </v:shape>
        </w:pict>
      </w:r>
      <w:r>
        <w:rPr/>
        <w:pict>
          <v:shape style="position:absolute;margin-left:71.400803pt;margin-top:72.467896pt;width:441.55pt;height:64.8500pt;mso-position-horizontal-relative:page;mso-position-vertical-relative:page;z-index:-251904000" type="#_x0000_t202" filled="false" stroked="false">
            <v:textbox inset="0,0,0,0">
              <w:txbxContent>
                <w:p>
                  <w:pPr>
                    <w:tabs>
                      <w:tab w:pos="4207" w:val="left" w:leader="none"/>
                      <w:tab w:pos="7686" w:val="left" w:leader="none"/>
                      <w:tab w:pos="8309" w:val="left" w:leader="none"/>
                      <w:tab w:pos="8664" w:val="left" w:leader="none"/>
                      <w:tab w:pos="8750" w:val="left" w:leader="none"/>
                      <w:tab w:pos="8781" w:val="left" w:leader="none"/>
                    </w:tabs>
                    <w:spacing w:before="13"/>
                    <w:ind w:left="20" w:right="17" w:firstLine="0"/>
                    <w:jc w:val="left"/>
                    <w:rPr>
                      <w:sz w:val="22"/>
                    </w:rPr>
                  </w:pPr>
                  <w:r>
                    <w:rPr>
                      <w:sz w:val="22"/>
                    </w:rPr>
                    <w:t>This agreement, entered</w:t>
                  </w:r>
                  <w:r>
                    <w:rPr>
                      <w:spacing w:val="-10"/>
                      <w:sz w:val="22"/>
                    </w:rPr>
                    <w:t> </w:t>
                  </w:r>
                  <w:r>
                    <w:rPr>
                      <w:sz w:val="22"/>
                    </w:rPr>
                    <w:t>into</w:t>
                  </w:r>
                  <w:r>
                    <w:rPr>
                      <w:spacing w:val="-4"/>
                      <w:sz w:val="22"/>
                    </w:rPr>
                    <w:t> </w:t>
                  </w:r>
                  <w:r>
                    <w:rPr>
                      <w:sz w:val="22"/>
                    </w:rPr>
                    <w:t>this</w:t>
                  </w:r>
                  <w:r>
                    <w:rPr>
                      <w:sz w:val="22"/>
                      <w:u w:val="single"/>
                    </w:rPr>
                    <w:t> </w:t>
                    <w:tab/>
                  </w:r>
                  <w:r>
                    <w:rPr>
                      <w:sz w:val="22"/>
                    </w:rPr>
                    <w:t>day</w:t>
                  </w:r>
                  <w:r>
                    <w:rPr>
                      <w:spacing w:val="-1"/>
                      <w:sz w:val="22"/>
                    </w:rPr>
                    <w:t> </w:t>
                  </w:r>
                  <w:r>
                    <w:rPr>
                      <w:sz w:val="22"/>
                    </w:rPr>
                    <w:t>of</w:t>
                  </w:r>
                  <w:r>
                    <w:rPr>
                      <w:sz w:val="22"/>
                      <w:u w:val="single"/>
                    </w:rPr>
                    <w:t> </w:t>
                    <w:tab/>
                  </w:r>
                  <w:r>
                    <w:rPr>
                      <w:sz w:val="22"/>
                    </w:rPr>
                    <w:t>,</w:t>
                  </w:r>
                  <w:r>
                    <w:rPr>
                      <w:spacing w:val="-1"/>
                      <w:sz w:val="22"/>
                    </w:rPr>
                    <w:t> </w:t>
                  </w:r>
                  <w:r>
                    <w:rPr>
                      <w:sz w:val="22"/>
                    </w:rPr>
                    <w:t>20</w:t>
                  </w:r>
                  <w:r>
                    <w:rPr>
                      <w:sz w:val="22"/>
                      <w:u w:val="single"/>
                    </w:rPr>
                    <w:t> </w:t>
                    <w:tab/>
                    <w:tab/>
                  </w:r>
                  <w:r>
                    <w:rPr>
                      <w:sz w:val="22"/>
                    </w:rPr>
                    <w:t>, establishes a rent-to-own</w:t>
                  </w:r>
                  <w:r>
                    <w:rPr>
                      <w:spacing w:val="-13"/>
                      <w:sz w:val="22"/>
                    </w:rPr>
                    <w:t> </w:t>
                  </w:r>
                  <w:r>
                    <w:rPr>
                      <w:sz w:val="22"/>
                    </w:rPr>
                    <w:t>contract</w:t>
                  </w:r>
                  <w:r>
                    <w:rPr>
                      <w:spacing w:val="-4"/>
                      <w:sz w:val="22"/>
                    </w:rPr>
                    <w:t> </w:t>
                  </w:r>
                  <w:r>
                    <w:rPr>
                      <w:sz w:val="22"/>
                    </w:rPr>
                    <w:t>between</w:t>
                  </w:r>
                  <w:r>
                    <w:rPr>
                      <w:sz w:val="22"/>
                      <w:u w:val="single"/>
                    </w:rPr>
                    <w:t> </w:t>
                    <w:tab/>
                    <w:tab/>
                  </w:r>
                  <w:r>
                    <w:rPr>
                      <w:sz w:val="22"/>
                    </w:rPr>
                    <w:t>, hereinafter referred to as</w:t>
                  </w:r>
                  <w:r>
                    <w:rPr>
                      <w:spacing w:val="-8"/>
                      <w:sz w:val="22"/>
                    </w:rPr>
                    <w:t> </w:t>
                  </w:r>
                  <w:r>
                    <w:rPr>
                      <w:sz w:val="22"/>
                    </w:rPr>
                    <w:t>“homeowner”,</w:t>
                  </w:r>
                  <w:r>
                    <w:rPr>
                      <w:spacing w:val="-3"/>
                      <w:sz w:val="22"/>
                    </w:rPr>
                    <w:t> </w:t>
                  </w:r>
                  <w:r>
                    <w:rPr>
                      <w:sz w:val="22"/>
                    </w:rPr>
                    <w:t>and</w:t>
                  </w:r>
                  <w:r>
                    <w:rPr>
                      <w:sz w:val="22"/>
                      <w:u w:val="single"/>
                    </w:rPr>
                    <w:t> </w:t>
                    <w:tab/>
                    <w:tab/>
                    <w:tab/>
                    <w:tab/>
                  </w:r>
                  <w:r>
                    <w:rPr>
                      <w:spacing w:val="-18"/>
                      <w:sz w:val="22"/>
                    </w:rPr>
                    <w:t>, </w:t>
                  </w:r>
                  <w:r>
                    <w:rPr>
                      <w:sz w:val="22"/>
                    </w:rPr>
                    <w:t>hereinafter referred to as “tenant”, for the residential property located</w:t>
                  </w:r>
                  <w:r>
                    <w:rPr>
                      <w:spacing w:val="-27"/>
                      <w:sz w:val="22"/>
                    </w:rPr>
                    <w:t> </w:t>
                  </w:r>
                  <w:r>
                    <w:rPr>
                      <w:sz w:val="22"/>
                    </w:rPr>
                    <w:t>at </w:t>
                  </w:r>
                  <w:r>
                    <w:rPr>
                      <w:sz w:val="22"/>
                      <w:u w:val="single"/>
                    </w:rPr>
                    <w:t> </w:t>
                    <w:tab/>
                    <w:tab/>
                    <w:tab/>
                    <w:tab/>
                    <w:tab/>
                  </w:r>
                </w:p>
                <w:p>
                  <w:pPr>
                    <w:tabs>
                      <w:tab w:pos="4911" w:val="left" w:leader="none"/>
                    </w:tabs>
                    <w:spacing w:line="252" w:lineRule="exact" w:before="0"/>
                    <w:ind w:left="20" w:right="0" w:firstLine="0"/>
                    <w:jc w:val="left"/>
                    <w:rPr>
                      <w:sz w:val="22"/>
                    </w:rPr>
                  </w:pPr>
                  <w:r>
                    <w:rPr>
                      <w:sz w:val="22"/>
                      <w:u w:val="single"/>
                    </w:rPr>
                    <w:t> </w:t>
                    <w:tab/>
                  </w:r>
                  <w:r>
                    <w:rPr>
                      <w:sz w:val="22"/>
                    </w:rPr>
                    <w:t>, hereinafter referred to as</w:t>
                  </w:r>
                  <w:r>
                    <w:rPr>
                      <w:spacing w:val="-7"/>
                      <w:sz w:val="22"/>
                    </w:rPr>
                    <w:t> </w:t>
                  </w:r>
                  <w:r>
                    <w:rPr>
                      <w:sz w:val="22"/>
                    </w:rPr>
                    <w:t>“property”.</w:t>
                  </w:r>
                </w:p>
              </w:txbxContent>
            </v:textbox>
            <w10:wrap type="none"/>
          </v:shape>
        </w:pict>
      </w:r>
      <w:r>
        <w:rPr/>
        <w:pict>
          <v:shape style="position:absolute;margin-left:71.400803pt;margin-top:148.301697pt;width:464.7pt;height:77.5pt;mso-position-horizontal-relative:page;mso-position-vertical-relative:page;z-index:-251902976" type="#_x0000_t202" filled="false" stroked="false">
            <v:textbox inset="0,0,0,0">
              <w:txbxContent>
                <w:p>
                  <w:pPr>
                    <w:spacing w:before="13"/>
                    <w:ind w:left="20" w:right="69" w:firstLine="0"/>
                    <w:jc w:val="left"/>
                    <w:rPr>
                      <w:sz w:val="22"/>
                    </w:rPr>
                  </w:pPr>
                  <w:r>
                    <w:rPr>
                      <w:sz w:val="22"/>
                    </w:rPr>
                    <w:t>Homeowner is the legal property owner of the property identified in the first paragraph of this contract and has the capacity and right to enter into this contract for the property located at the address listed in the first paragraph pursuant to the laws of the state under which this contract will be executed and the property is located. Tenant has the legal capacity to enter into a</w:t>
                  </w:r>
                </w:p>
                <w:p>
                  <w:pPr>
                    <w:spacing w:before="0"/>
                    <w:ind w:left="20" w:right="-4" w:firstLine="0"/>
                    <w:jc w:val="left"/>
                    <w:rPr>
                      <w:sz w:val="22"/>
                    </w:rPr>
                  </w:pPr>
                  <w:r>
                    <w:rPr>
                      <w:sz w:val="22"/>
                    </w:rPr>
                    <w:t>rent-to-own contract pursuant to the laws of the state under which this contract will be executed and the property is located.</w:t>
                  </w:r>
                </w:p>
              </w:txbxContent>
            </v:textbox>
            <w10:wrap type="none"/>
          </v:shape>
        </w:pict>
      </w:r>
      <w:r>
        <w:rPr/>
        <w:pict>
          <v:shape style="position:absolute;margin-left:71.400803pt;margin-top:236.774597pt;width:112.65pt;height:14.3pt;mso-position-horizontal-relative:page;mso-position-vertical-relative:page;z-index:-251901952" type="#_x0000_t202" filled="false" stroked="false">
            <v:textbox inset="0,0,0,0">
              <w:txbxContent>
                <w:p>
                  <w:pPr>
                    <w:spacing w:before="13"/>
                    <w:ind w:left="20" w:right="0" w:firstLine="0"/>
                    <w:jc w:val="left"/>
                    <w:rPr>
                      <w:sz w:val="22"/>
                    </w:rPr>
                  </w:pPr>
                  <w:r>
                    <w:rPr>
                      <w:sz w:val="22"/>
                    </w:rPr>
                    <w:t>Rights and Obligations</w:t>
                  </w:r>
                </w:p>
              </w:txbxContent>
            </v:textbox>
            <w10:wrap type="none"/>
          </v:shape>
        </w:pict>
      </w:r>
      <w:r>
        <w:rPr/>
        <w:pict>
          <v:shape style="position:absolute;margin-left:71.400803pt;margin-top:262.052582pt;width:465.4pt;height:64.8500pt;mso-position-horizontal-relative:page;mso-position-vertical-relative:page;z-index:-251900928" type="#_x0000_t202" filled="false" stroked="false">
            <v:textbox inset="0,0,0,0">
              <w:txbxContent>
                <w:p>
                  <w:pPr>
                    <w:tabs>
                      <w:tab w:pos="9227" w:val="left" w:leader="none"/>
                    </w:tabs>
                    <w:spacing w:before="13"/>
                    <w:ind w:left="20" w:right="17" w:firstLine="0"/>
                    <w:jc w:val="left"/>
                    <w:rPr>
                      <w:sz w:val="22"/>
                    </w:rPr>
                  </w:pPr>
                  <w:r>
                    <w:rPr>
                      <w:sz w:val="22"/>
                    </w:rPr>
                    <w:t>This contract gives tenant the right to occupy and homeowner the right to collect rent for the tenant’s occupancy for the property. The contract is to last for a</w:t>
                  </w:r>
                  <w:r>
                    <w:rPr>
                      <w:spacing w:val="-25"/>
                      <w:sz w:val="22"/>
                    </w:rPr>
                    <w:t> </w:t>
                  </w:r>
                  <w:r>
                    <w:rPr>
                      <w:sz w:val="22"/>
                    </w:rPr>
                    <w:t>period</w:t>
                  </w:r>
                  <w:r>
                    <w:rPr>
                      <w:spacing w:val="-3"/>
                      <w:sz w:val="22"/>
                    </w:rPr>
                    <w:t> </w:t>
                  </w:r>
                  <w:r>
                    <w:rPr>
                      <w:sz w:val="22"/>
                    </w:rPr>
                    <w:t>of</w:t>
                  </w:r>
                  <w:r>
                    <w:rPr>
                      <w:sz w:val="22"/>
                      <w:u w:val="single"/>
                    </w:rPr>
                    <w:t> </w:t>
                    <w:tab/>
                  </w:r>
                  <w:r>
                    <w:rPr>
                      <w:spacing w:val="-18"/>
                      <w:sz w:val="22"/>
                    </w:rPr>
                    <w:t>, </w:t>
                  </w:r>
                  <w:r>
                    <w:rPr>
                      <w:sz w:val="22"/>
                    </w:rPr>
                    <w:t>and is renewable upon the expiration of that time upon the agreement of both parties and the execution of either another rent-to-own lease contract or addendum to this contract. This</w:t>
                  </w:r>
                  <w:r>
                    <w:rPr>
                      <w:spacing w:val="-41"/>
                      <w:sz w:val="22"/>
                    </w:rPr>
                    <w:t> </w:t>
                  </w:r>
                  <w:r>
                    <w:rPr>
                      <w:sz w:val="22"/>
                    </w:rPr>
                    <w:t>period of time is hereinafter referred to as the “tenancy</w:t>
                  </w:r>
                  <w:r>
                    <w:rPr>
                      <w:spacing w:val="-6"/>
                      <w:sz w:val="22"/>
                    </w:rPr>
                    <w:t> </w:t>
                  </w:r>
                  <w:r>
                    <w:rPr>
                      <w:sz w:val="22"/>
                    </w:rPr>
                    <w:t>period.”</w:t>
                  </w:r>
                </w:p>
              </w:txbxContent>
            </v:textbox>
            <w10:wrap type="none"/>
          </v:shape>
        </w:pict>
      </w:r>
      <w:r>
        <w:rPr/>
        <w:pict>
          <v:shape style="position:absolute;margin-left:71.400803pt;margin-top:337.886597pt;width:464.75pt;height:52.25pt;mso-position-horizontal-relative:page;mso-position-vertical-relative:page;z-index:-251899904" type="#_x0000_t202" filled="false" stroked="false">
            <v:textbox inset="0,0,0,0">
              <w:txbxContent>
                <w:p>
                  <w:pPr>
                    <w:tabs>
                      <w:tab w:pos="4905" w:val="left" w:leader="none"/>
                      <w:tab w:pos="7086" w:val="left" w:leader="none"/>
                      <w:tab w:pos="7942" w:val="left" w:leader="none"/>
                    </w:tabs>
                    <w:spacing w:before="13"/>
                    <w:ind w:left="20" w:right="17" w:firstLine="0"/>
                    <w:jc w:val="left"/>
                    <w:rPr>
                      <w:sz w:val="22"/>
                    </w:rPr>
                  </w:pPr>
                  <w:r>
                    <w:rPr>
                      <w:sz w:val="22"/>
                    </w:rPr>
                    <w:t>Tenant will occupy the property</w:t>
                  </w:r>
                  <w:r>
                    <w:rPr>
                      <w:spacing w:val="-14"/>
                      <w:sz w:val="22"/>
                    </w:rPr>
                    <w:t> </w:t>
                  </w:r>
                  <w:r>
                    <w:rPr>
                      <w:sz w:val="22"/>
                    </w:rPr>
                    <w:t>as</w:t>
                  </w:r>
                  <w:r>
                    <w:rPr>
                      <w:spacing w:val="-2"/>
                      <w:sz w:val="22"/>
                    </w:rPr>
                    <w:t> </w:t>
                  </w:r>
                  <w:r>
                    <w:rPr>
                      <w:sz w:val="22"/>
                    </w:rPr>
                    <w:t>of</w:t>
                  </w:r>
                  <w:r>
                    <w:rPr>
                      <w:sz w:val="22"/>
                      <w:u w:val="single"/>
                    </w:rPr>
                    <w:t> </w:t>
                    <w:tab/>
                    <w:tab/>
                  </w:r>
                  <w:r>
                    <w:rPr>
                      <w:sz w:val="22"/>
                    </w:rPr>
                    <w:t>,</w:t>
                  </w:r>
                  <w:r>
                    <w:rPr>
                      <w:spacing w:val="-2"/>
                      <w:sz w:val="22"/>
                    </w:rPr>
                    <w:t> </w:t>
                  </w:r>
                  <w:r>
                    <w:rPr>
                      <w:sz w:val="22"/>
                    </w:rPr>
                    <w:t>20</w:t>
                  </w:r>
                  <w:r>
                    <w:rPr>
                      <w:sz w:val="22"/>
                      <w:u w:val="single"/>
                    </w:rPr>
                    <w:t> </w:t>
                    <w:tab/>
                  </w:r>
                  <w:r>
                    <w:rPr>
                      <w:sz w:val="22"/>
                    </w:rPr>
                    <w:t>. Monthly </w:t>
                  </w:r>
                  <w:r>
                    <w:rPr>
                      <w:spacing w:val="-4"/>
                      <w:sz w:val="22"/>
                    </w:rPr>
                    <w:t>rent </w:t>
                  </w:r>
                  <w:r>
                    <w:rPr>
                      <w:sz w:val="22"/>
                    </w:rPr>
                    <w:t>for the</w:t>
                  </w:r>
                  <w:r>
                    <w:rPr>
                      <w:spacing w:val="-5"/>
                      <w:sz w:val="22"/>
                    </w:rPr>
                    <w:t> </w:t>
                  </w:r>
                  <w:r>
                    <w:rPr>
                      <w:sz w:val="22"/>
                    </w:rPr>
                    <w:t>property</w:t>
                  </w:r>
                  <w:r>
                    <w:rPr>
                      <w:spacing w:val="-1"/>
                      <w:sz w:val="22"/>
                    </w:rPr>
                    <w:t> </w:t>
                  </w:r>
                  <w:r>
                    <w:rPr>
                      <w:sz w:val="22"/>
                    </w:rPr>
                    <w:t>is</w:t>
                  </w:r>
                  <w:r>
                    <w:rPr>
                      <w:sz w:val="22"/>
                      <w:u w:val="single"/>
                    </w:rPr>
                    <w:t> </w:t>
                    <w:tab/>
                  </w:r>
                  <w:r>
                    <w:rPr>
                      <w:sz w:val="22"/>
                    </w:rPr>
                    <w:t>and is due to the homeowner no later than the</w:t>
                  </w:r>
                  <w:r>
                    <w:rPr>
                      <w:spacing w:val="-4"/>
                      <w:sz w:val="22"/>
                    </w:rPr>
                    <w:t> </w:t>
                  </w:r>
                  <w:r>
                    <w:rPr>
                      <w:sz w:val="22"/>
                    </w:rPr>
                    <w:t>first</w:t>
                  </w:r>
                  <w:r>
                    <w:rPr>
                      <w:spacing w:val="-3"/>
                      <w:sz w:val="22"/>
                    </w:rPr>
                    <w:t> </w:t>
                  </w:r>
                  <w:r>
                    <w:rPr>
                      <w:sz w:val="22"/>
                    </w:rPr>
                    <w:t>of</w:t>
                  </w:r>
                  <w:r>
                    <w:rPr>
                      <w:spacing w:val="-2"/>
                      <w:sz w:val="22"/>
                    </w:rPr>
                    <w:t> </w:t>
                  </w:r>
                  <w:r>
                    <w:rPr>
                      <w:sz w:val="22"/>
                    </w:rPr>
                    <w:t>every</w:t>
                  </w:r>
                  <w:r>
                    <w:rPr>
                      <w:spacing w:val="-3"/>
                      <w:sz w:val="22"/>
                    </w:rPr>
                    <w:t> </w:t>
                  </w:r>
                  <w:r>
                    <w:rPr>
                      <w:sz w:val="22"/>
                    </w:rPr>
                    <w:t>month</w:t>
                  </w:r>
                  <w:r>
                    <w:rPr>
                      <w:spacing w:val="-3"/>
                      <w:sz w:val="22"/>
                    </w:rPr>
                    <w:t> </w:t>
                  </w:r>
                  <w:r>
                    <w:rPr>
                      <w:sz w:val="22"/>
                    </w:rPr>
                    <w:t>in</w:t>
                  </w:r>
                  <w:r>
                    <w:rPr>
                      <w:spacing w:val="-3"/>
                      <w:sz w:val="22"/>
                    </w:rPr>
                    <w:t> </w:t>
                  </w:r>
                  <w:r>
                    <w:rPr>
                      <w:sz w:val="22"/>
                    </w:rPr>
                    <w:t>which</w:t>
                  </w:r>
                  <w:r>
                    <w:rPr>
                      <w:spacing w:val="-4"/>
                      <w:sz w:val="22"/>
                    </w:rPr>
                    <w:t> </w:t>
                  </w:r>
                  <w:r>
                    <w:rPr>
                      <w:sz w:val="22"/>
                    </w:rPr>
                    <w:t>the</w:t>
                  </w:r>
                  <w:r>
                    <w:rPr>
                      <w:spacing w:val="-3"/>
                      <w:sz w:val="22"/>
                    </w:rPr>
                    <w:t> </w:t>
                  </w:r>
                  <w:r>
                    <w:rPr>
                      <w:sz w:val="22"/>
                    </w:rPr>
                    <w:t>tenant</w:t>
                  </w:r>
                  <w:r>
                    <w:rPr>
                      <w:spacing w:val="-3"/>
                      <w:sz w:val="22"/>
                    </w:rPr>
                    <w:t> </w:t>
                  </w:r>
                  <w:r>
                    <w:rPr>
                      <w:sz w:val="22"/>
                    </w:rPr>
                    <w:t>intends</w:t>
                  </w:r>
                  <w:r>
                    <w:rPr>
                      <w:spacing w:val="-3"/>
                      <w:sz w:val="22"/>
                    </w:rPr>
                    <w:t> </w:t>
                  </w:r>
                  <w:r>
                    <w:rPr>
                      <w:sz w:val="22"/>
                    </w:rPr>
                    <w:t>to</w:t>
                  </w:r>
                  <w:r>
                    <w:rPr>
                      <w:spacing w:val="-2"/>
                      <w:sz w:val="22"/>
                    </w:rPr>
                    <w:t> </w:t>
                  </w:r>
                  <w:r>
                    <w:rPr>
                      <w:sz w:val="22"/>
                    </w:rPr>
                    <w:t>occupy</w:t>
                  </w:r>
                  <w:r>
                    <w:rPr>
                      <w:spacing w:val="-2"/>
                      <w:sz w:val="22"/>
                    </w:rPr>
                    <w:t> </w:t>
                  </w:r>
                  <w:r>
                    <w:rPr>
                      <w:sz w:val="22"/>
                    </w:rPr>
                    <w:t>the</w:t>
                  </w:r>
                  <w:r>
                    <w:rPr>
                      <w:spacing w:val="-4"/>
                      <w:sz w:val="22"/>
                    </w:rPr>
                    <w:t> </w:t>
                  </w:r>
                  <w:r>
                    <w:rPr>
                      <w:sz w:val="22"/>
                    </w:rPr>
                    <w:t>property.</w:t>
                  </w:r>
                  <w:r>
                    <w:rPr>
                      <w:spacing w:val="-2"/>
                      <w:sz w:val="22"/>
                    </w:rPr>
                    <w:t> </w:t>
                  </w:r>
                  <w:r>
                    <w:rPr>
                      <w:sz w:val="22"/>
                    </w:rPr>
                    <w:t>Tenant</w:t>
                  </w:r>
                  <w:r>
                    <w:rPr>
                      <w:spacing w:val="-3"/>
                      <w:sz w:val="22"/>
                    </w:rPr>
                    <w:t> </w:t>
                  </w:r>
                  <w:r>
                    <w:rPr>
                      <w:sz w:val="22"/>
                    </w:rPr>
                    <w:t>is</w:t>
                  </w:r>
                  <w:r>
                    <w:rPr>
                      <w:spacing w:val="-4"/>
                      <w:sz w:val="22"/>
                    </w:rPr>
                    <w:t> </w:t>
                  </w:r>
                  <w:r>
                    <w:rPr>
                      <w:sz w:val="22"/>
                    </w:rPr>
                    <w:t>depositing</w:t>
                  </w:r>
                </w:p>
                <w:p>
                  <w:pPr>
                    <w:tabs>
                      <w:tab w:pos="1542" w:val="left" w:leader="none"/>
                    </w:tabs>
                    <w:spacing w:line="252" w:lineRule="exact" w:before="0"/>
                    <w:ind w:left="20" w:right="0" w:firstLine="0"/>
                    <w:jc w:val="left"/>
                    <w:rPr>
                      <w:sz w:val="22"/>
                    </w:rPr>
                  </w:pPr>
                  <w:r>
                    <w:rPr>
                      <w:sz w:val="22"/>
                      <w:u w:val="single"/>
                    </w:rPr>
                    <w:t> </w:t>
                    <w:tab/>
                  </w:r>
                  <w:r>
                    <w:rPr>
                      <w:sz w:val="22"/>
                    </w:rPr>
                    <w:t>with the landlord as a security deposit for occupying the</w:t>
                  </w:r>
                  <w:r>
                    <w:rPr>
                      <w:spacing w:val="-15"/>
                      <w:sz w:val="22"/>
                    </w:rPr>
                    <w:t> </w:t>
                  </w:r>
                  <w:r>
                    <w:rPr>
                      <w:sz w:val="22"/>
                    </w:rPr>
                    <w:t>property.</w:t>
                  </w:r>
                </w:p>
              </w:txbxContent>
            </v:textbox>
            <w10:wrap type="none"/>
          </v:shape>
        </w:pict>
      </w:r>
      <w:r>
        <w:rPr/>
        <w:pict>
          <v:shape style="position:absolute;margin-left:71.400803pt;margin-top:401.081604pt;width:459.75pt;height:52.25pt;mso-position-horizontal-relative:page;mso-position-vertical-relative:page;z-index:-251898880" type="#_x0000_t202" filled="false" stroked="false">
            <v:textbox inset="0,0,0,0">
              <w:txbxContent>
                <w:p>
                  <w:pPr>
                    <w:spacing w:before="13"/>
                    <w:ind w:left="20" w:right="-5" w:firstLine="0"/>
                    <w:jc w:val="left"/>
                    <w:rPr>
                      <w:sz w:val="22"/>
                    </w:rPr>
                  </w:pPr>
                  <w:r>
                    <w:rPr>
                      <w:sz w:val="22"/>
                    </w:rPr>
                    <w:t>Upon execution of this contract, tenant has all the rights given to residential tenants and homeowner has all the rights given to residential landlords under the laws of the state in which the property is located. Some or all of these rights may be waived if agreed upon in writing between the parties to this contract.</w:t>
                  </w:r>
                </w:p>
              </w:txbxContent>
            </v:textbox>
            <w10:wrap type="none"/>
          </v:shape>
        </w:pict>
      </w:r>
      <w:r>
        <w:rPr/>
        <w:pict>
          <v:shape style="position:absolute;margin-left:71.400803pt;margin-top:464.276581pt;width:462.85pt;height:26.95pt;mso-position-horizontal-relative:page;mso-position-vertical-relative:page;z-index:-251897856" type="#_x0000_t202" filled="false" stroked="false">
            <v:textbox inset="0,0,0,0">
              <w:txbxContent>
                <w:p>
                  <w:pPr>
                    <w:spacing w:before="13"/>
                    <w:ind w:left="20" w:right="-4" w:firstLine="0"/>
                    <w:jc w:val="left"/>
                    <w:rPr>
                      <w:sz w:val="22"/>
                    </w:rPr>
                  </w:pPr>
                  <w:r>
                    <w:rPr>
                      <w:sz w:val="22"/>
                    </w:rPr>
                    <w:t>Both parties are responsible for the obligations normally ascribed to them under the laws of the state in which the property is located.</w:t>
                  </w:r>
                </w:p>
              </w:txbxContent>
            </v:textbox>
            <w10:wrap type="none"/>
          </v:shape>
        </w:pict>
      </w:r>
      <w:r>
        <w:rPr/>
        <w:pict>
          <v:shape style="position:absolute;margin-left:71.400803pt;margin-top:502.193604pt;width:98.5pt;height:14.3pt;mso-position-horizontal-relative:page;mso-position-vertical-relative:page;z-index:-251896832" type="#_x0000_t202" filled="false" stroked="false">
            <v:textbox inset="0,0,0,0">
              <w:txbxContent>
                <w:p>
                  <w:pPr>
                    <w:spacing w:before="13"/>
                    <w:ind w:left="20" w:right="0" w:firstLine="0"/>
                    <w:jc w:val="left"/>
                    <w:rPr>
                      <w:sz w:val="22"/>
                    </w:rPr>
                  </w:pPr>
                  <w:r>
                    <w:rPr>
                      <w:sz w:val="22"/>
                    </w:rPr>
                    <w:t>Rent-to-Own Rights</w:t>
                  </w:r>
                </w:p>
              </w:txbxContent>
            </v:textbox>
            <w10:wrap type="none"/>
          </v:shape>
        </w:pict>
      </w:r>
      <w:r>
        <w:rPr/>
        <w:pict>
          <v:shape style="position:absolute;margin-left:71.400803pt;margin-top:527.471619pt;width:459.9pt;height:77.5pt;mso-position-horizontal-relative:page;mso-position-vertical-relative:page;z-index:-251895808" type="#_x0000_t202" filled="false" stroked="false">
            <v:textbox inset="0,0,0,0">
              <w:txbxContent>
                <w:p>
                  <w:pPr>
                    <w:spacing w:before="13"/>
                    <w:ind w:left="20" w:right="0" w:firstLine="0"/>
                    <w:jc w:val="left"/>
                    <w:rPr>
                      <w:sz w:val="22"/>
                    </w:rPr>
                  </w:pPr>
                  <w:r>
                    <w:rPr>
                      <w:sz w:val="22"/>
                    </w:rPr>
                    <w:t>In addition to the lease, the parties to this contract agree that this contract shall contain</w:t>
                  </w:r>
                </w:p>
                <w:p>
                  <w:pPr>
                    <w:tabs>
                      <w:tab w:pos="4519" w:val="left" w:leader="none"/>
                    </w:tabs>
                    <w:spacing w:before="0"/>
                    <w:ind w:left="20" w:right="17" w:firstLine="0"/>
                    <w:jc w:val="left"/>
                    <w:rPr>
                      <w:sz w:val="22"/>
                    </w:rPr>
                  </w:pPr>
                  <w:r>
                    <w:rPr>
                      <w:sz w:val="22"/>
                    </w:rPr>
                    <w:t>rent-to-own terms. These terms give tenant the right to purchase the property at the end of</w:t>
                  </w:r>
                  <w:r>
                    <w:rPr>
                      <w:spacing w:val="-31"/>
                      <w:sz w:val="22"/>
                    </w:rPr>
                    <w:t> </w:t>
                  </w:r>
                  <w:r>
                    <w:rPr>
                      <w:sz w:val="22"/>
                    </w:rPr>
                    <w:t>the tenancy period or</w:t>
                  </w:r>
                  <w:r>
                    <w:rPr>
                      <w:spacing w:val="-6"/>
                      <w:sz w:val="22"/>
                    </w:rPr>
                    <w:t> </w:t>
                  </w:r>
                  <w:r>
                    <w:rPr>
                      <w:sz w:val="22"/>
                    </w:rPr>
                    <w:t>as</w:t>
                  </w:r>
                  <w:r>
                    <w:rPr>
                      <w:spacing w:val="-2"/>
                      <w:sz w:val="22"/>
                    </w:rPr>
                    <w:t> </w:t>
                  </w:r>
                  <w:r>
                    <w:rPr>
                      <w:sz w:val="22"/>
                    </w:rPr>
                    <w:t>of</w:t>
                  </w:r>
                  <w:r>
                    <w:rPr>
                      <w:sz w:val="22"/>
                      <w:u w:val="single"/>
                    </w:rPr>
                    <w:t> </w:t>
                    <w:tab/>
                  </w:r>
                  <w:r>
                    <w:rPr>
                      <w:sz w:val="22"/>
                    </w:rPr>
                    <w:t>, to begin on the date that this contract is executed. This contract does not constitute a contract for sale; a separate contract for sale will need to be entered into and executed pursuant to the laws of the state in which the property is located at the end of the tenancy</w:t>
                  </w:r>
                  <w:r>
                    <w:rPr>
                      <w:spacing w:val="-5"/>
                      <w:sz w:val="22"/>
                    </w:rPr>
                    <w:t> </w:t>
                  </w:r>
                  <w:r>
                    <w:rPr>
                      <w:sz w:val="22"/>
                    </w:rPr>
                    <w:t>period.</w:t>
                  </w:r>
                </w:p>
              </w:txbxContent>
            </v:textbox>
            <w10:wrap type="none"/>
          </v:shape>
        </w:pict>
      </w:r>
      <w:r>
        <w:rPr/>
        <w:pict>
          <v:shape style="position:absolute;margin-left:71.400803pt;margin-top:615.972839pt;width:467.75pt;height:71.5pt;mso-position-horizontal-relative:page;mso-position-vertical-relative:page;z-index:-251894784" type="#_x0000_t202" filled="false" stroked="false">
            <v:textbox inset="0,0,0,0">
              <w:txbxContent>
                <w:p>
                  <w:pPr>
                    <w:pStyle w:val="BodyText"/>
                    <w:tabs>
                      <w:tab w:pos="7940" w:val="left" w:leader="none"/>
                    </w:tabs>
                    <w:spacing w:line="242" w:lineRule="auto" w:before="13"/>
                    <w:ind w:left="20" w:right="17"/>
                  </w:pPr>
                  <w:r>
                    <w:rPr/>
                    <w:t>At the end of the tenancy period, tenant may agree to purchase the property for the price established by homeowner and has the right to have all rents and the security deposit paid during the period of this contract applied toward either the purchase price of the home or any required down payment or earnest money payment that the homeowner requires. Tenant</w:t>
                  </w:r>
                  <w:r>
                    <w:rPr>
                      <w:spacing w:val="-22"/>
                    </w:rPr>
                    <w:t> </w:t>
                  </w:r>
                  <w:r>
                    <w:rPr/>
                    <w:t>is</w:t>
                  </w:r>
                  <w:r>
                    <w:rPr>
                      <w:spacing w:val="-4"/>
                    </w:rPr>
                    <w:t> </w:t>
                  </w:r>
                  <w:r>
                    <w:rPr/>
                    <w:t>depositing</w:t>
                  </w:r>
                  <w:r>
                    <w:rPr>
                      <w:u w:val="single"/>
                    </w:rPr>
                    <w:t> </w:t>
                    <w:tab/>
                  </w:r>
                  <w:r>
                    <w:rPr/>
                    <w:t>with homeowner</w:t>
                  </w:r>
                  <w:r>
                    <w:rPr>
                      <w:spacing w:val="-3"/>
                    </w:rPr>
                    <w:t> </w:t>
                  </w:r>
                  <w:r>
                    <w:rPr/>
                    <w:t>for</w:t>
                  </w:r>
                  <w:r>
                    <w:rPr>
                      <w:spacing w:val="-4"/>
                    </w:rPr>
                    <w:t> </w:t>
                  </w:r>
                  <w:r>
                    <w:rPr/>
                    <w:t>the</w:t>
                  </w:r>
                  <w:r>
                    <w:rPr>
                      <w:spacing w:val="-3"/>
                    </w:rPr>
                    <w:t> </w:t>
                  </w:r>
                  <w:r>
                    <w:rPr/>
                    <w:t>right</w:t>
                  </w:r>
                  <w:r>
                    <w:rPr>
                      <w:spacing w:val="-4"/>
                    </w:rPr>
                    <w:t> </w:t>
                  </w:r>
                  <w:r>
                    <w:rPr/>
                    <w:t>to</w:t>
                  </w:r>
                  <w:r>
                    <w:rPr>
                      <w:spacing w:val="-3"/>
                    </w:rPr>
                    <w:t> </w:t>
                  </w:r>
                  <w:r>
                    <w:rPr/>
                    <w:t>exercise</w:t>
                  </w:r>
                  <w:r>
                    <w:rPr>
                      <w:spacing w:val="-3"/>
                    </w:rPr>
                    <w:t> </w:t>
                  </w:r>
                  <w:r>
                    <w:rPr/>
                    <w:t>this</w:t>
                  </w:r>
                  <w:r>
                    <w:rPr>
                      <w:spacing w:val="-3"/>
                    </w:rPr>
                    <w:t> </w:t>
                  </w:r>
                  <w:r>
                    <w:rPr/>
                    <w:t>option</w:t>
                  </w:r>
                  <w:r>
                    <w:rPr>
                      <w:spacing w:val="-3"/>
                    </w:rPr>
                    <w:t> </w:t>
                  </w:r>
                  <w:r>
                    <w:rPr/>
                    <w:t>at</w:t>
                  </w:r>
                  <w:r>
                    <w:rPr>
                      <w:spacing w:val="-2"/>
                    </w:rPr>
                    <w:t> </w:t>
                  </w:r>
                  <w:r>
                    <w:rPr/>
                    <w:t>the</w:t>
                  </w:r>
                  <w:r>
                    <w:rPr>
                      <w:spacing w:val="-4"/>
                    </w:rPr>
                    <w:t> </w:t>
                  </w:r>
                  <w:r>
                    <w:rPr/>
                    <w:t>end</w:t>
                  </w:r>
                  <w:r>
                    <w:rPr>
                      <w:spacing w:val="-2"/>
                    </w:rPr>
                    <w:t> </w:t>
                  </w:r>
                  <w:r>
                    <w:rPr/>
                    <w:t>of</w:t>
                  </w:r>
                  <w:r>
                    <w:rPr>
                      <w:spacing w:val="-3"/>
                    </w:rPr>
                    <w:t> </w:t>
                  </w:r>
                  <w:r>
                    <w:rPr/>
                    <w:t>the</w:t>
                  </w:r>
                  <w:r>
                    <w:rPr>
                      <w:spacing w:val="-3"/>
                    </w:rPr>
                    <w:t> </w:t>
                  </w:r>
                  <w:r>
                    <w:rPr/>
                    <w:t>lease</w:t>
                  </w:r>
                  <w:r>
                    <w:rPr>
                      <w:spacing w:val="-3"/>
                    </w:rPr>
                    <w:t> </w:t>
                  </w:r>
                  <w:r>
                    <w:rPr/>
                    <w:t>term.</w:t>
                  </w:r>
                  <w:r>
                    <w:rPr>
                      <w:spacing w:val="-3"/>
                    </w:rPr>
                    <w:t> </w:t>
                  </w:r>
                  <w:r>
                    <w:rPr/>
                    <w:t>This</w:t>
                  </w:r>
                  <w:r>
                    <w:rPr>
                      <w:spacing w:val="-4"/>
                    </w:rPr>
                    <w:t> </w:t>
                  </w:r>
                  <w:r>
                    <w:rPr/>
                    <w:t>deposit</w:t>
                  </w:r>
                  <w:r>
                    <w:rPr>
                      <w:spacing w:val="-2"/>
                    </w:rPr>
                    <w:t> </w:t>
                  </w:r>
                  <w:r>
                    <w:rPr/>
                    <w:t>is</w:t>
                  </w:r>
                  <w:r>
                    <w:rPr>
                      <w:spacing w:val="-4"/>
                    </w:rPr>
                    <w:t> </w:t>
                  </w:r>
                  <w:r>
                    <w:rPr/>
                    <w:t>nonrefundable and cannot be applied toward the purchase price of the</w:t>
                  </w:r>
                  <w:r>
                    <w:rPr>
                      <w:spacing w:val="-8"/>
                    </w:rPr>
                    <w:t> </w:t>
                  </w:r>
                  <w:r>
                    <w:rPr/>
                    <w:t>home.</w:t>
                  </w:r>
                </w:p>
              </w:txbxContent>
            </v:textbox>
            <w10:wrap type="none"/>
          </v:shape>
        </w:pict>
      </w:r>
      <w:r>
        <w:rPr/>
        <w:pict>
          <v:shape style="position:absolute;margin-left:71.400803pt;margin-top:698.700867pt;width:453.85pt;height:36.2pt;mso-position-horizontal-relative:page;mso-position-vertical-relative:page;z-index:-251893760" type="#_x0000_t202" filled="false" stroked="false">
            <v:textbox inset="0,0,0,0">
              <w:txbxContent>
                <w:p>
                  <w:pPr>
                    <w:pStyle w:val="BodyText"/>
                    <w:spacing w:before="13"/>
                    <w:ind w:left="20" w:right="-2"/>
                  </w:pPr>
                  <w:r>
                    <w:rPr/>
                    <w:t>The purchase price of the home will be established solely by the homeowner at the end of the period. Homeowner must notify the tenant of the sale price of the home in writing no less than 30 days prior to the expiration of the tenancy period.</w:t>
                  </w:r>
                </w:p>
              </w:txbxContent>
            </v:textbox>
            <w10:wrap type="none"/>
          </v:shape>
        </w:pict>
      </w:r>
      <w:r>
        <w:rPr/>
        <w:pict>
          <v:shape style="position:absolute;margin-left:68.540009pt;margin-top:750.473816pt;width:42.9pt;height:10.95pt;mso-position-horizontal-relative:page;mso-position-vertical-relative:page;z-index:-251892736" type="#_x0000_t202" filled="false" stroked="false">
            <v:textbox inset="0,0,0,0">
              <w:txbxContent>
                <w:p>
                  <w:pPr>
                    <w:spacing w:before="14"/>
                    <w:ind w:left="20" w:right="0" w:firstLine="0"/>
                    <w:jc w:val="left"/>
                    <w:rPr>
                      <w:sz w:val="16"/>
                    </w:rPr>
                  </w:pPr>
                  <w:r>
                    <w:rPr>
                      <w:color w:val="999999"/>
                      <w:sz w:val="16"/>
                    </w:rPr>
                    <w:t>Page 1 of 2</w:t>
                  </w:r>
                </w:p>
              </w:txbxContent>
            </v:textbox>
            <w10:wrap type="none"/>
          </v:shape>
        </w:pict>
      </w:r>
      <w:r>
        <w:rPr/>
        <w:pict>
          <v:shape style="position:absolute;margin-left:189.615997pt;margin-top:750.473816pt;width:232.7pt;height:10.95pt;mso-position-horizontal-relative:page;mso-position-vertical-relative:page;z-index:-251891712" type="#_x0000_t202" filled="false" stroked="false">
            <v:textbox inset="0,0,0,0">
              <w:txbxContent>
                <w:p>
                  <w:pPr>
                    <w:spacing w:before="14"/>
                    <w:ind w:left="20" w:right="0" w:firstLine="0"/>
                    <w:jc w:val="left"/>
                    <w:rPr>
                      <w:sz w:val="16"/>
                    </w:rPr>
                  </w:pPr>
                  <w:hyperlink r:id="rId5">
                    <w:r>
                      <w:rPr>
                        <w:sz w:val="16"/>
                      </w:rPr>
                      <w:t>https://mortgage.lovetoknow.com/Rent_to_Own_House_Contract</w:t>
                    </w:r>
                  </w:hyperlink>
                </w:p>
              </w:txbxContent>
            </v:textbox>
            <w10:wrap type="none"/>
          </v:shape>
        </w:pict>
      </w:r>
      <w:r>
        <w:rPr/>
        <w:pict>
          <v:shape style="position:absolute;margin-left:236.206802pt;margin-top:72.425903pt;width:45.6pt;height:12pt;mso-position-horizontal-relative:page;mso-position-vertical-relative:page;z-index:-251890688" type="#_x0000_t202" filled="false" stroked="false">
            <v:textbox inset="0,0,0,0">
              <w:txbxContent>
                <w:p>
                  <w:pPr>
                    <w:pStyle w:val="BodyText"/>
                    <w:rPr>
                      <w:rFonts w:ascii="Times New Roman"/>
                      <w:sz w:val="17"/>
                    </w:rPr>
                  </w:pPr>
                </w:p>
              </w:txbxContent>
            </v:textbox>
            <w10:wrap type="none"/>
          </v:shape>
        </w:pict>
      </w:r>
      <w:r>
        <w:rPr/>
        <w:pict>
          <v:shape style="position:absolute;margin-left:315.088806pt;margin-top:72.425903pt;width:143.450pt;height:12pt;mso-position-horizontal-relative:page;mso-position-vertical-relative:page;z-index:-251889664" type="#_x0000_t202" filled="false" stroked="false">
            <v:textbox inset="0,0,0,0">
              <w:txbxContent>
                <w:p>
                  <w:pPr>
                    <w:pStyle w:val="BodyText"/>
                    <w:rPr>
                      <w:rFonts w:ascii="Times New Roman"/>
                      <w:sz w:val="17"/>
                    </w:rPr>
                  </w:pPr>
                </w:p>
              </w:txbxContent>
            </v:textbox>
            <w10:wrap type="none"/>
          </v:shape>
        </w:pict>
      </w:r>
      <w:r>
        <w:rPr/>
        <w:pict>
          <v:shape style="position:absolute;margin-left:474.059448pt;margin-top:72.425903pt;width:33.35pt;height:12pt;mso-position-horizontal-relative:page;mso-position-vertical-relative:page;z-index:-251888640" type="#_x0000_t202" filled="false" stroked="false">
            <v:textbox inset="0,0,0,0">
              <w:txbxContent>
                <w:p>
                  <w:pPr>
                    <w:pStyle w:val="BodyText"/>
                    <w:rPr>
                      <w:rFonts w:ascii="Times New Roman"/>
                      <w:sz w:val="17"/>
                    </w:rPr>
                  </w:pPr>
                </w:p>
              </w:txbxContent>
            </v:textbox>
            <w10:wrap type="none"/>
          </v:shape>
        </w:pict>
      </w:r>
      <w:r>
        <w:rPr/>
        <w:pict>
          <v:shape style="position:absolute;margin-left:285.124786pt;margin-top:85.06488pt;width:204.6pt;height:12pt;mso-position-horizontal-relative:page;mso-position-vertical-relative:page;z-index:-251887616" type="#_x0000_t202" filled="false" stroked="false">
            <v:textbox inset="0,0,0,0">
              <w:txbxContent>
                <w:p>
                  <w:pPr>
                    <w:pStyle w:val="BodyText"/>
                    <w:rPr>
                      <w:rFonts w:ascii="Times New Roman"/>
                      <w:sz w:val="17"/>
                    </w:rPr>
                  </w:pPr>
                </w:p>
              </w:txbxContent>
            </v:textbox>
            <w10:wrap type="none"/>
          </v:shape>
        </w:pict>
      </w:r>
      <w:r>
        <w:rPr/>
        <w:pict>
          <v:shape style="position:absolute;margin-left:288.808807pt;margin-top:97.703918pt;width:222.9pt;height:12pt;mso-position-horizontal-relative:page;mso-position-vertical-relative:page;z-index:-251886592" type="#_x0000_t202" filled="false" stroked="false">
            <v:textbox inset="0,0,0,0">
              <w:txbxContent>
                <w:p>
                  <w:pPr>
                    <w:pStyle w:val="BodyText"/>
                    <w:rPr>
                      <w:rFonts w:ascii="Times New Roman"/>
                      <w:sz w:val="17"/>
                    </w:rPr>
                  </w:pPr>
                </w:p>
              </w:txbxContent>
            </v:textbox>
            <w10:wrap type="none"/>
          </v:shape>
        </w:pict>
      </w:r>
      <w:r>
        <w:rPr/>
        <w:pict>
          <v:shape style="position:absolute;margin-left:422.086792pt;margin-top:110.342773pt;width:88.4pt;height:12pt;mso-position-horizontal-relative:page;mso-position-vertical-relative:page;z-index:-251885568" type="#_x0000_t202" filled="false" stroked="false">
            <v:textbox inset="0,0,0,0">
              <w:txbxContent>
                <w:p>
                  <w:pPr>
                    <w:pStyle w:val="BodyText"/>
                    <w:rPr>
                      <w:rFonts w:ascii="Times New Roman"/>
                      <w:sz w:val="17"/>
                    </w:rPr>
                  </w:pPr>
                </w:p>
              </w:txbxContent>
            </v:textbox>
            <w10:wrap type="none"/>
          </v:shape>
        </w:pict>
      </w:r>
      <w:r>
        <w:rPr/>
        <w:pict>
          <v:shape style="position:absolute;margin-left:72.400803pt;margin-top:122.981812pt;width:247.4pt;height:12pt;mso-position-horizontal-relative:page;mso-position-vertical-relative:page;z-index:-251884544" type="#_x0000_t202" filled="false" stroked="false">
            <v:textbox inset="0,0,0,0">
              <w:txbxContent>
                <w:p>
                  <w:pPr>
                    <w:pStyle w:val="BodyText"/>
                    <w:rPr>
                      <w:rFonts w:ascii="Times New Roman"/>
                      <w:sz w:val="17"/>
                    </w:rPr>
                  </w:pPr>
                </w:p>
              </w:txbxContent>
            </v:textbox>
            <w10:wrap type="none"/>
          </v:shape>
        </w:pict>
      </w:r>
      <w:r>
        <w:rPr/>
        <w:pict>
          <v:shape style="position:absolute;margin-left:428.824799pt;margin-top:274.649597pt;width:106.75pt;height:12pt;mso-position-horizontal-relative:page;mso-position-vertical-relative:page;z-index:-251883520" type="#_x0000_t202" filled="false" stroked="false">
            <v:textbox inset="0,0,0,0">
              <w:txbxContent>
                <w:p>
                  <w:pPr>
                    <w:pStyle w:val="BodyText"/>
                    <w:rPr>
                      <w:rFonts w:ascii="Times New Roman"/>
                      <w:sz w:val="17"/>
                    </w:rPr>
                  </w:pPr>
                </w:p>
              </w:txbxContent>
            </v:textbox>
            <w10:wrap type="none"/>
          </v:shape>
        </w:pict>
      </w:r>
      <w:r>
        <w:rPr/>
        <w:pict>
          <v:shape style="position:absolute;margin-left:254.542801pt;margin-top:337.844604pt;width:174pt;height:12pt;mso-position-horizontal-relative:page;mso-position-vertical-relative:page;z-index:-251882496" type="#_x0000_t202" filled="false" stroked="false">
            <v:textbox inset="0,0,0,0">
              <w:txbxContent>
                <w:p>
                  <w:pPr>
                    <w:pStyle w:val="BodyText"/>
                    <w:rPr>
                      <w:rFonts w:ascii="Times New Roman"/>
                      <w:sz w:val="17"/>
                    </w:rPr>
                  </w:pPr>
                </w:p>
              </w:txbxContent>
            </v:textbox>
            <w10:wrap type="none"/>
          </v:shape>
        </w:pict>
      </w:r>
      <w:r>
        <w:rPr/>
        <w:pict>
          <v:shape style="position:absolute;margin-left:444.083435pt;margin-top:337.844604pt;width:27.25pt;height:12pt;mso-position-horizontal-relative:page;mso-position-vertical-relative:page;z-index:-251881472" type="#_x0000_t202" filled="false" stroked="false">
            <v:textbox inset="0,0,0,0">
              <w:txbxContent>
                <w:p>
                  <w:pPr>
                    <w:pStyle w:val="BodyText"/>
                    <w:rPr>
                      <w:rFonts w:ascii="Times New Roman"/>
                      <w:sz w:val="17"/>
                    </w:rPr>
                  </w:pPr>
                </w:p>
              </w:txbxContent>
            </v:textbox>
            <w10:wrap type="none"/>
          </v:shape>
        </w:pict>
      </w:r>
      <w:r>
        <w:rPr/>
        <w:pict>
          <v:shape style="position:absolute;margin-left:161.050797pt;margin-top:350.483612pt;width:155.65pt;height:12pt;mso-position-horizontal-relative:page;mso-position-vertical-relative:page;z-index:-251880448" type="#_x0000_t202" filled="false" stroked="false">
            <v:textbox inset="0,0,0,0">
              <w:txbxContent>
                <w:p>
                  <w:pPr>
                    <w:pStyle w:val="BodyText"/>
                    <w:rPr>
                      <w:rFonts w:ascii="Times New Roman"/>
                      <w:sz w:val="17"/>
                    </w:rPr>
                  </w:pPr>
                </w:p>
              </w:txbxContent>
            </v:textbox>
            <w10:wrap type="none"/>
          </v:shape>
        </w:pict>
      </w:r>
      <w:r>
        <w:rPr/>
        <w:pict>
          <v:shape style="position:absolute;margin-left:72.400803pt;margin-top:375.761597pt;width:76.150pt;height:12pt;mso-position-horizontal-relative:page;mso-position-vertical-relative:page;z-index:-251879424" type="#_x0000_t202" filled="false" stroked="false">
            <v:textbox inset="0,0,0,0">
              <w:txbxContent>
                <w:p>
                  <w:pPr>
                    <w:pStyle w:val="BodyText"/>
                    <w:rPr>
                      <w:rFonts w:ascii="Times New Roman"/>
                      <w:sz w:val="17"/>
                    </w:rPr>
                  </w:pPr>
                </w:p>
              </w:txbxContent>
            </v:textbox>
            <w10:wrap type="none"/>
          </v:shape>
        </w:pict>
      </w:r>
      <w:r>
        <w:rPr/>
        <w:pict>
          <v:shape style="position:absolute;margin-left:187.342804pt;margin-top:552.707581pt;width:112.85pt;height:12pt;mso-position-horizontal-relative:page;mso-position-vertical-relative:page;z-index:-251878400" type="#_x0000_t202" filled="false" stroked="false">
            <v:textbox inset="0,0,0,0">
              <w:txbxContent>
                <w:p>
                  <w:pPr>
                    <w:pStyle w:val="BodyText"/>
                    <w:rPr>
                      <w:rFonts w:ascii="Times New Roman"/>
                      <w:sz w:val="17"/>
                    </w:rPr>
                  </w:pPr>
                </w:p>
              </w:txbxContent>
            </v:textbox>
            <w10:wrap type="none"/>
          </v:shape>
        </w:pict>
      </w:r>
      <w:r>
        <w:rPr/>
        <w:pict>
          <v:shape style="position:absolute;margin-left:371.440796pt;margin-top:649.495605pt;width:97pt;height:12pt;mso-position-horizontal-relative:page;mso-position-vertical-relative:page;z-index:-251877376"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type w:val="continuous"/>
          <w:pgSz w:w="12240" w:h="15840"/>
          <w:pgMar w:top="720" w:bottom="280" w:left="1260" w:right="1340"/>
        </w:sectPr>
      </w:pPr>
    </w:p>
    <w:p>
      <w:pPr>
        <w:rPr>
          <w:sz w:val="2"/>
          <w:szCs w:val="2"/>
        </w:rPr>
      </w:pPr>
      <w:r>
        <w:rPr/>
        <w:pict>
          <v:line style="position:absolute;mso-position-horizontal-relative:page;mso-position-vertical-relative:page;z-index:-251876352" from="72.400902pt,487.861786pt" to="216.921292pt,487.861786pt" stroked="true" strokeweight=".63pt" strokecolor="#000000">
            <v:stroke dashstyle="solid"/>
            <w10:wrap type="none"/>
          </v:line>
        </w:pict>
      </w:r>
      <w:r>
        <w:rPr/>
        <w:pict>
          <v:line style="position:absolute;mso-position-horizontal-relative:page;mso-position-vertical-relative:page;z-index:-251875328" from="379.846893pt,487.861786pt" to="479.926898pt,487.861786pt" stroked="true" strokeweight=".63pt" strokecolor="#000000">
            <v:stroke dashstyle="solid"/>
            <w10:wrap type="none"/>
          </v:line>
        </w:pict>
      </w:r>
      <w:r>
        <w:rPr/>
        <w:pict>
          <v:line style="position:absolute;mso-position-horizontal-relative:page;mso-position-vertical-relative:page;z-index:-251874304" from="72.400902pt,525.778809pt" to="216.960909pt,525.778809pt" stroked="true" strokeweight=".63pt" strokecolor="#000000">
            <v:stroke dashstyle="solid"/>
            <w10:wrap type="none"/>
          </v:line>
        </w:pict>
      </w:r>
      <w:r>
        <w:rPr/>
        <w:pict>
          <v:line style="position:absolute;mso-position-horizontal-relative:page;mso-position-vertical-relative:page;z-index:-251873280" from="379.846893pt,525.778809pt" to="479.926898pt,525.778809pt" stroked="true" strokeweight=".63pt" strokecolor="#000000">
            <v:stroke dashstyle="solid"/>
            <w10:wrap type="none"/>
          </v:line>
        </w:pict>
      </w:r>
      <w:r>
        <w:rPr/>
        <w:pict>
          <v:line style="position:absolute;mso-position-horizontal-relative:page;mso-position-vertical-relative:page;z-index:-251872256" from="72.400902pt,588.973816pt" to="216.960909pt,588.973816pt" stroked="true" strokeweight=".63pt" strokecolor="#000000">
            <v:stroke dashstyle="solid"/>
            <w10:wrap type="none"/>
          </v:line>
        </w:pict>
      </w:r>
      <w:r>
        <w:rPr/>
        <w:pict>
          <v:shape style="position:absolute;margin-left:71.400902pt;margin-top:48.978065pt;width:466.1pt;height:25.55pt;mso-position-horizontal-relative:page;mso-position-vertical-relative:page;z-index:-251871232" type="#_x0000_t202" filled="false" stroked="false">
            <v:textbox inset="0,0,0,0">
              <w:txbxContent>
                <w:p>
                  <w:pPr>
                    <w:pStyle w:val="BodyText"/>
                    <w:spacing w:line="259" w:lineRule="auto" w:before="13"/>
                    <w:ind w:left="20" w:right="-1"/>
                  </w:pPr>
                  <w:bookmarkStart w:name="Blank Page" w:id="1"/>
                  <w:bookmarkEnd w:id="1"/>
                  <w:r>
                    <w:rPr/>
                  </w:r>
                  <w:r>
                    <w:rPr/>
                    <w:t>Tenant must send notification of intent to purchase the property according to the terms established in this agreement to the homeowner no later than the date of expiration of the tenancy period.</w:t>
                  </w:r>
                </w:p>
              </w:txbxContent>
            </v:textbox>
            <w10:wrap type="none"/>
          </v:shape>
        </w:pict>
      </w:r>
      <w:r>
        <w:rPr/>
        <w:pict>
          <v:shape style="position:absolute;margin-left:71.400902pt;margin-top:85.746063pt;width:467.2pt;height:37.050pt;mso-position-horizontal-relative:page;mso-position-vertical-relative:page;z-index:-251870208" type="#_x0000_t202" filled="false" stroked="false">
            <v:textbox inset="0,0,0,0">
              <w:txbxContent>
                <w:p>
                  <w:pPr>
                    <w:pStyle w:val="BodyText"/>
                    <w:spacing w:line="249" w:lineRule="auto" w:before="13"/>
                    <w:ind w:left="20" w:right="-2"/>
                  </w:pPr>
                  <w:r>
                    <w:rPr/>
                    <w:t>The tenant is not obligated to purchase the property at the end of the period. Notification of intent to not enact the rent-to-own rights established in this contract must be sent no later than 15 days after receipt of the homeowner’s notification of sale price or 15 days prior to the end of the tenancy period.</w:t>
                  </w:r>
                </w:p>
              </w:txbxContent>
            </v:textbox>
            <w10:wrap type="none"/>
          </v:shape>
        </w:pict>
      </w:r>
      <w:r>
        <w:rPr/>
        <w:pict>
          <v:shape style="position:absolute;margin-left:71.400902pt;margin-top:134.881073pt;width:86.45pt;height:13.2pt;mso-position-horizontal-relative:page;mso-position-vertical-relative:page;z-index:-251869184" type="#_x0000_t202" filled="false" stroked="false">
            <v:textbox inset="0,0,0,0">
              <w:txbxContent>
                <w:p>
                  <w:pPr>
                    <w:spacing w:before="13"/>
                    <w:ind w:left="20" w:right="0" w:firstLine="0"/>
                    <w:jc w:val="left"/>
                    <w:rPr>
                      <w:b/>
                      <w:sz w:val="20"/>
                    </w:rPr>
                  </w:pPr>
                  <w:r>
                    <w:rPr>
                      <w:b/>
                      <w:sz w:val="20"/>
                    </w:rPr>
                    <w:t>Early Termination</w:t>
                  </w:r>
                </w:p>
              </w:txbxContent>
            </v:textbox>
            <w10:wrap type="none"/>
          </v:shape>
        </w:pict>
      </w:r>
      <w:r>
        <w:rPr/>
        <w:pict>
          <v:shape style="position:absolute;margin-left:71.400902pt;margin-top:159.282059pt;width:467.2pt;height:48.55pt;mso-position-horizontal-relative:page;mso-position-vertical-relative:page;z-index:-251868160" type="#_x0000_t202" filled="false" stroked="false">
            <v:textbox inset="0,0,0,0">
              <w:txbxContent>
                <w:p>
                  <w:pPr>
                    <w:pStyle w:val="BodyText"/>
                    <w:spacing w:line="244" w:lineRule="auto" w:before="13"/>
                    <w:ind w:left="20" w:right="-1"/>
                  </w:pPr>
                  <w:r>
                    <w:rPr/>
                    <w:t>Tenant’s abandonment of the property will constitute an indication of the intent to terminate this contract and relinquish the rights to rent and occupy and purchase the property. “Abandonment” is defined pursuant to the laws of this state, but in all circumstances will occur when the tenant does not pay rent for one month or occupy the property for one month. A month is 30 consecutive days.</w:t>
                  </w:r>
                </w:p>
              </w:txbxContent>
            </v:textbox>
            <w10:wrap type="none"/>
          </v:shape>
        </w:pict>
      </w:r>
      <w:r>
        <w:rPr/>
        <w:pict>
          <v:shape style="position:absolute;margin-left:71.400902pt;margin-top:219.03006pt;width:458.85pt;height:48.55pt;mso-position-horizontal-relative:page;mso-position-vertical-relative:page;z-index:-251867136" type="#_x0000_t202" filled="false" stroked="false">
            <v:textbox inset="0,0,0,0">
              <w:txbxContent>
                <w:p>
                  <w:pPr>
                    <w:pStyle w:val="BodyText"/>
                    <w:spacing w:line="244" w:lineRule="auto" w:before="13"/>
                    <w:ind w:left="20" w:right="-2"/>
                  </w:pPr>
                  <w:r>
                    <w:rPr/>
                    <w:t>Homeowner must evict tenant according to the laws of the state. Homeowner may not cancel this contract except for 1) the tenant’s failure to pay monthly rent pursuant to this contract, 2) the tenant’s failure to occupy the premises for 30 days, or 3) receipt of notification from tenant of intent to cancel the contract and abandon the premises.</w:t>
                  </w:r>
                </w:p>
              </w:txbxContent>
            </v:textbox>
            <w10:wrap type="none"/>
          </v:shape>
        </w:pict>
      </w:r>
      <w:r>
        <w:rPr/>
        <w:pict>
          <v:shape style="position:absolute;margin-left:71.400902pt;margin-top:278.778168pt;width:463.85pt;height:48.55pt;mso-position-horizontal-relative:page;mso-position-vertical-relative:page;z-index:-251866112" type="#_x0000_t202" filled="false" stroked="false">
            <v:textbox inset="0,0,0,0">
              <w:txbxContent>
                <w:p>
                  <w:pPr>
                    <w:pStyle w:val="BodyText"/>
                    <w:spacing w:line="244" w:lineRule="auto" w:before="13"/>
                    <w:ind w:left="20" w:right="-1"/>
                  </w:pPr>
                  <w:r>
                    <w:rPr/>
                    <w:t>If the tenant terminates the contract, the tenant relinquishes the right to have any monies paid in rent applied to the purchase price of the home, should the tenant and homeowner later agree to enter into a contract for sale of the home separate from this contract. Tenant must also pay rent for the entire term of the lease contract, as allowed by law.</w:t>
                  </w:r>
                </w:p>
              </w:txbxContent>
            </v:textbox>
            <w10:wrap type="none"/>
          </v:shape>
        </w:pict>
      </w:r>
      <w:r>
        <w:rPr/>
        <w:pict>
          <v:shape style="position:absolute;margin-left:71.400902pt;margin-top:338.526154pt;width:460pt;height:25.55pt;mso-position-horizontal-relative:page;mso-position-vertical-relative:page;z-index:-251865088" type="#_x0000_t202" filled="false" stroked="false">
            <v:textbox inset="0,0,0,0">
              <w:txbxContent>
                <w:p>
                  <w:pPr>
                    <w:pStyle w:val="BodyText"/>
                    <w:spacing w:line="259" w:lineRule="auto" w:before="13"/>
                    <w:ind w:left="20" w:right="-1"/>
                  </w:pPr>
                  <w:r>
                    <w:rPr/>
                    <w:t>If the homeowner cancels the contract, tenant is entitled to all redress and remedies available under the laws of the state in which the property is located and this contract entered into.</w:t>
                  </w:r>
                </w:p>
              </w:txbxContent>
            </v:textbox>
            <w10:wrap type="none"/>
          </v:shape>
        </w:pict>
      </w:r>
      <w:r>
        <w:rPr/>
        <w:pict>
          <v:shape style="position:absolute;margin-left:71.400902pt;margin-top:425.850159pt;width:408.35pt;height:25.55pt;mso-position-horizontal-relative:page;mso-position-vertical-relative:page;z-index:-251864064" type="#_x0000_t202" filled="false" stroked="false">
            <v:textbox inset="0,0,0,0">
              <w:txbxContent>
                <w:p>
                  <w:pPr>
                    <w:pStyle w:val="BodyText"/>
                    <w:tabs>
                      <w:tab w:pos="3893" w:val="left" w:leader="none"/>
                      <w:tab w:pos="6056" w:val="left" w:leader="none"/>
                      <w:tab w:pos="6835" w:val="left" w:leader="none"/>
                    </w:tabs>
                    <w:spacing w:before="13"/>
                    <w:ind w:left="20"/>
                  </w:pPr>
                  <w:r>
                    <w:rPr/>
                    <w:t>This contract is entered</w:t>
                  </w:r>
                  <w:r>
                    <w:rPr>
                      <w:spacing w:val="-8"/>
                    </w:rPr>
                    <w:t> </w:t>
                  </w:r>
                  <w:r>
                    <w:rPr/>
                    <w:t>in</w:t>
                  </w:r>
                  <w:r>
                    <w:rPr>
                      <w:spacing w:val="-1"/>
                    </w:rPr>
                    <w:t> </w:t>
                  </w:r>
                  <w:r>
                    <w:rPr/>
                    <w:t>this</w:t>
                  </w:r>
                  <w:r>
                    <w:rPr>
                      <w:u w:val="single"/>
                    </w:rPr>
                    <w:t> </w:t>
                    <w:tab/>
                  </w:r>
                  <w:r>
                    <w:rPr/>
                    <w:t>day</w:t>
                  </w:r>
                  <w:r>
                    <w:rPr>
                      <w:spacing w:val="-1"/>
                    </w:rPr>
                    <w:t> </w:t>
                  </w:r>
                  <w:r>
                    <w:rPr/>
                    <w:t>of</w:t>
                  </w:r>
                  <w:r>
                    <w:rPr>
                      <w:u w:val="single"/>
                    </w:rPr>
                    <w:t> </w:t>
                    <w:tab/>
                  </w:r>
                  <w:r>
                    <w:rPr/>
                    <w:t>,</w:t>
                  </w:r>
                  <w:r>
                    <w:rPr>
                      <w:spacing w:val="-1"/>
                    </w:rPr>
                    <w:t> </w:t>
                  </w:r>
                  <w:r>
                    <w:rPr/>
                    <w:t>20</w:t>
                  </w:r>
                  <w:r>
                    <w:rPr>
                      <w:u w:val="single"/>
                    </w:rPr>
                    <w:t> </w:t>
                    <w:tab/>
                  </w:r>
                  <w:r>
                    <w:rPr/>
                    <w:t>, in the state</w:t>
                  </w:r>
                  <w:r>
                    <w:rPr>
                      <w:spacing w:val="-4"/>
                    </w:rPr>
                    <w:t> </w:t>
                  </w:r>
                  <w:r>
                    <w:rPr/>
                    <w:t>of</w:t>
                  </w:r>
                </w:p>
                <w:p>
                  <w:pPr>
                    <w:pStyle w:val="BodyText"/>
                    <w:tabs>
                      <w:tab w:pos="3800" w:val="left" w:leader="none"/>
                    </w:tabs>
                    <w:spacing w:before="18"/>
                    <w:ind w:left="20"/>
                  </w:pPr>
                  <w:r>
                    <w:rPr>
                      <w:u w:val="single"/>
                    </w:rPr>
                    <w:t> </w:t>
                    <w:tab/>
                  </w:r>
                  <w:r>
                    <w:rPr/>
                    <w:t>.</w:t>
                  </w:r>
                </w:p>
              </w:txbxContent>
            </v:textbox>
            <w10:wrap type="none"/>
          </v:shape>
        </w:pict>
      </w:r>
      <w:r>
        <w:rPr/>
        <w:pict>
          <v:shape style="position:absolute;margin-left:71.400902pt;margin-top:488.773071pt;width:33.1pt;height:13.2pt;mso-position-horizontal-relative:page;mso-position-vertical-relative:page;z-index:-251863040" type="#_x0000_t202" filled="false" stroked="false">
            <v:textbox inset="0,0,0,0">
              <w:txbxContent>
                <w:p>
                  <w:pPr>
                    <w:pStyle w:val="BodyText"/>
                    <w:spacing w:before="13"/>
                    <w:ind w:left="20"/>
                  </w:pPr>
                  <w:r>
                    <w:rPr/>
                    <w:t>Tenant</w:t>
                  </w:r>
                </w:p>
              </w:txbxContent>
            </v:textbox>
            <w10:wrap type="none"/>
          </v:shape>
        </w:pict>
      </w:r>
      <w:r>
        <w:rPr/>
        <w:pict>
          <v:shape style="position:absolute;margin-left:381.624908pt;margin-top:488.773071pt;width:23.1pt;height:13.2pt;mso-position-horizontal-relative:page;mso-position-vertical-relative:page;z-index:-251862016" type="#_x0000_t202" filled="false" stroked="false">
            <v:textbox inset="0,0,0,0">
              <w:txbxContent>
                <w:p>
                  <w:pPr>
                    <w:pStyle w:val="BodyText"/>
                    <w:spacing w:before="13"/>
                    <w:ind w:left="20"/>
                  </w:pPr>
                  <w:r>
                    <w:rPr/>
                    <w:t>Date</w:t>
                  </w:r>
                </w:p>
              </w:txbxContent>
            </v:textbox>
            <w10:wrap type="none"/>
          </v:shape>
        </w:pict>
      </w:r>
      <w:r>
        <w:rPr/>
        <w:pict>
          <v:shape style="position:absolute;margin-left:71.400902pt;margin-top:526.690063pt;width:55.85pt;height:13.2pt;mso-position-horizontal-relative:page;mso-position-vertical-relative:page;z-index:-251860992" type="#_x0000_t202" filled="false" stroked="false">
            <v:textbox inset="0,0,0,0">
              <w:txbxContent>
                <w:p>
                  <w:pPr>
                    <w:pStyle w:val="BodyText"/>
                    <w:spacing w:before="13"/>
                    <w:ind w:left="20"/>
                  </w:pPr>
                  <w:r>
                    <w:rPr/>
                    <w:t>Homeowner</w:t>
                  </w:r>
                </w:p>
              </w:txbxContent>
            </v:textbox>
            <w10:wrap type="none"/>
          </v:shape>
        </w:pict>
      </w:r>
      <w:r>
        <w:rPr/>
        <w:pict>
          <v:shape style="position:absolute;margin-left:381.624908pt;margin-top:526.690063pt;width:23.1pt;height:13.2pt;mso-position-horizontal-relative:page;mso-position-vertical-relative:page;z-index:-251859968" type="#_x0000_t202" filled="false" stroked="false">
            <v:textbox inset="0,0,0,0">
              <w:txbxContent>
                <w:p>
                  <w:pPr>
                    <w:pStyle w:val="BodyText"/>
                    <w:spacing w:before="13"/>
                    <w:ind w:left="20"/>
                  </w:pPr>
                  <w:r>
                    <w:rPr/>
                    <w:t>Date</w:t>
                  </w:r>
                </w:p>
              </w:txbxContent>
            </v:textbox>
            <w10:wrap type="none"/>
          </v:shape>
        </w:pict>
      </w:r>
      <w:r>
        <w:rPr/>
        <w:pict>
          <v:shape style="position:absolute;margin-left:71.400902pt;margin-top:589.885071pt;width:31.4pt;height:13.2pt;mso-position-horizontal-relative:page;mso-position-vertical-relative:page;z-index:-251858944" type="#_x0000_t202" filled="false" stroked="false">
            <v:textbox inset="0,0,0,0">
              <w:txbxContent>
                <w:p>
                  <w:pPr>
                    <w:pStyle w:val="BodyText"/>
                    <w:spacing w:before="13"/>
                    <w:ind w:left="20"/>
                  </w:pPr>
                  <w:r>
                    <w:rPr/>
                    <w:t>Notary</w:t>
                  </w:r>
                </w:p>
              </w:txbxContent>
            </v:textbox>
            <w10:wrap type="none"/>
          </v:shape>
        </w:pict>
      </w:r>
      <w:r>
        <w:rPr/>
        <w:pict>
          <v:shape style="position:absolute;margin-left:68.540009pt;margin-top:750.473816pt;width:42.9pt;height:10.95pt;mso-position-horizontal-relative:page;mso-position-vertical-relative:page;z-index:-251857920" type="#_x0000_t202" filled="false" stroked="false">
            <v:textbox inset="0,0,0,0">
              <w:txbxContent>
                <w:p>
                  <w:pPr>
                    <w:spacing w:before="14"/>
                    <w:ind w:left="20" w:right="0" w:firstLine="0"/>
                    <w:jc w:val="left"/>
                    <w:rPr>
                      <w:sz w:val="16"/>
                    </w:rPr>
                  </w:pPr>
                  <w:r>
                    <w:rPr>
                      <w:color w:val="999999"/>
                      <w:sz w:val="16"/>
                    </w:rPr>
                    <w:t>Page 2 of 2</w:t>
                  </w:r>
                </w:p>
              </w:txbxContent>
            </v:textbox>
            <w10:wrap type="none"/>
          </v:shape>
        </w:pict>
      </w:r>
      <w:r>
        <w:rPr/>
        <w:pict>
          <v:shape style="position:absolute;margin-left:208.0009pt;margin-top:424.902893pt;width:58.1pt;height:12pt;mso-position-horizontal-relative:page;mso-position-vertical-relative:page;z-index:-251856896" type="#_x0000_t202" filled="false" stroked="false">
            <v:textbox inset="0,0,0,0">
              <w:txbxContent>
                <w:p>
                  <w:pPr>
                    <w:pStyle w:val="BodyText"/>
                    <w:rPr>
                      <w:rFonts w:ascii="Times New Roman"/>
                      <w:sz w:val="17"/>
                    </w:rPr>
                  </w:pPr>
                </w:p>
              </w:txbxContent>
            </v:textbox>
            <w10:wrap type="none"/>
          </v:shape>
        </w:pict>
      </w:r>
      <w:r>
        <w:rPr/>
        <w:pict>
          <v:shape style="position:absolute;margin-left:296.416901pt;margin-top:424.902893pt;width:80.350pt;height:12pt;mso-position-horizontal-relative:page;mso-position-vertical-relative:page;z-index:-251855872" type="#_x0000_t202" filled="false" stroked="false">
            <v:textbox inset="0,0,0,0">
              <w:txbxContent>
                <w:p>
                  <w:pPr>
                    <w:pStyle w:val="BodyText"/>
                    <w:rPr>
                      <w:rFonts w:ascii="Times New Roman"/>
                      <w:sz w:val="17"/>
                    </w:rPr>
                  </w:pPr>
                </w:p>
              </w:txbxContent>
            </v:textbox>
            <w10:wrap type="none"/>
          </v:shape>
        </w:pict>
      </w:r>
      <w:r>
        <w:rPr/>
        <w:pict>
          <v:shape style="position:absolute;margin-left:390.957855pt;margin-top:424.902893pt;width:24.75pt;height:12pt;mso-position-horizontal-relative:page;mso-position-vertical-relative:page;z-index:-251854848" type="#_x0000_t202" filled="false" stroked="false">
            <v:textbox inset="0,0,0,0">
              <w:txbxContent>
                <w:p>
                  <w:pPr>
                    <w:pStyle w:val="BodyText"/>
                    <w:rPr>
                      <w:rFonts w:ascii="Times New Roman"/>
                      <w:sz w:val="17"/>
                    </w:rPr>
                  </w:pPr>
                </w:p>
              </w:txbxContent>
            </v:textbox>
            <w10:wrap type="none"/>
          </v:shape>
        </w:pict>
      </w:r>
      <w:r>
        <w:rPr/>
        <w:pict>
          <v:shape style="position:absolute;margin-left:72.400902pt;margin-top:437.269806pt;width:191.55pt;height:12pt;mso-position-horizontal-relative:page;mso-position-vertical-relative:page;z-index:-251853824" type="#_x0000_t202" filled="false" stroked="false">
            <v:textbox inset="0,0,0,0">
              <w:txbxContent>
                <w:p>
                  <w:pPr>
                    <w:pStyle w:val="BodyText"/>
                    <w:rPr>
                      <w:rFonts w:ascii="Times New Roman"/>
                      <w:sz w:val="17"/>
                    </w:rPr>
                  </w:pPr>
                </w:p>
              </w:txbxContent>
            </v:textbox>
            <w10:wrap type="none"/>
          </v:shape>
        </w:pict>
      </w:r>
      <w:r>
        <w:rPr/>
        <w:pict>
          <v:shape style="position:absolute;margin-left:72.400902pt;margin-top:476.861786pt;width:144.550pt;height:12pt;mso-position-horizontal-relative:page;mso-position-vertical-relative:page;z-index:-251852800" type="#_x0000_t202" filled="false" stroked="false">
            <v:textbox inset="0,0,0,0">
              <w:txbxContent>
                <w:p>
                  <w:pPr>
                    <w:pStyle w:val="BodyText"/>
                    <w:rPr>
                      <w:rFonts w:ascii="Times New Roman"/>
                      <w:sz w:val="17"/>
                    </w:rPr>
                  </w:pPr>
                </w:p>
              </w:txbxContent>
            </v:textbox>
            <w10:wrap type="none"/>
          </v:shape>
        </w:pict>
      </w:r>
      <w:r>
        <w:rPr/>
        <w:pict>
          <v:shape style="position:absolute;margin-left:379.846893pt;margin-top:476.861786pt;width:100.1pt;height:12pt;mso-position-horizontal-relative:page;mso-position-vertical-relative:page;z-index:-251851776" type="#_x0000_t202" filled="false" stroked="false">
            <v:textbox inset="0,0,0,0">
              <w:txbxContent>
                <w:p>
                  <w:pPr>
                    <w:pStyle w:val="BodyText"/>
                    <w:rPr>
                      <w:rFonts w:ascii="Times New Roman"/>
                      <w:sz w:val="17"/>
                    </w:rPr>
                  </w:pPr>
                </w:p>
              </w:txbxContent>
            </v:textbox>
            <w10:wrap type="none"/>
          </v:shape>
        </w:pict>
      </w:r>
      <w:r>
        <w:rPr/>
        <w:pict>
          <v:shape style="position:absolute;margin-left:72.400902pt;margin-top:514.778809pt;width:144.6pt;height:12pt;mso-position-horizontal-relative:page;mso-position-vertical-relative:page;z-index:-251850752" type="#_x0000_t202" filled="false" stroked="false">
            <v:textbox inset="0,0,0,0">
              <w:txbxContent>
                <w:p>
                  <w:pPr>
                    <w:pStyle w:val="BodyText"/>
                    <w:rPr>
                      <w:rFonts w:ascii="Times New Roman"/>
                      <w:sz w:val="17"/>
                    </w:rPr>
                  </w:pPr>
                </w:p>
              </w:txbxContent>
            </v:textbox>
            <w10:wrap type="none"/>
          </v:shape>
        </w:pict>
      </w:r>
      <w:r>
        <w:rPr/>
        <w:pict>
          <v:shape style="position:absolute;margin-left:379.846893pt;margin-top:514.778809pt;width:100.1pt;height:12pt;mso-position-horizontal-relative:page;mso-position-vertical-relative:page;z-index:-251849728" type="#_x0000_t202" filled="false" stroked="false">
            <v:textbox inset="0,0,0,0">
              <w:txbxContent>
                <w:p>
                  <w:pPr>
                    <w:pStyle w:val="BodyText"/>
                    <w:rPr>
                      <w:rFonts w:ascii="Times New Roman"/>
                      <w:sz w:val="17"/>
                    </w:rPr>
                  </w:pPr>
                </w:p>
              </w:txbxContent>
            </v:textbox>
            <w10:wrap type="none"/>
          </v:shape>
        </w:pict>
      </w:r>
      <w:r>
        <w:rPr/>
        <w:pict>
          <v:shape style="position:absolute;margin-left:72.400902pt;margin-top:577.973816pt;width:144.6pt;height:12pt;mso-position-horizontal-relative:page;mso-position-vertical-relative:page;z-index:-251848704" type="#_x0000_t202" filled="false" stroked="false">
            <v:textbox inset="0,0,0,0">
              <w:txbxContent>
                <w:p>
                  <w:pPr>
                    <w:pStyle w:val="BodyText"/>
                    <w:rPr>
                      <w:rFonts w:ascii="Times New Roman"/>
                      <w:sz w:val="17"/>
                    </w:rPr>
                  </w:pPr>
                </w:p>
              </w:txbxContent>
            </v:textbox>
            <w10:wrap type="none"/>
          </v:shape>
        </w:pict>
      </w:r>
    </w:p>
    <w:sectPr>
      <w:pgSz w:w="12240" w:h="15840"/>
      <w:pgMar w:top="980" w:bottom="280" w:left="126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4"/>
      <w:ind w:left="40"/>
    </w:pPr>
    <w:rPr>
      <w:rFonts w:ascii="Arial" w:hAnsi="Arial" w:eastAsia="Arial" w:cs="Arial"/>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ttps://mortgage.lovetoknow.com/Rent_to_Own_House_Contrac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