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530F7" w14:textId="77777777" w:rsidR="0083658C" w:rsidRDefault="0083658C" w:rsidP="0083658C">
      <w:pPr>
        <w:pStyle w:val="Default"/>
      </w:pPr>
      <w:bookmarkStart w:id="0" w:name="_GoBack"/>
      <w:bookmarkEnd w:id="0"/>
    </w:p>
    <w:p w14:paraId="5D745297" w14:textId="77777777" w:rsidR="0083658C" w:rsidRDefault="0083658C" w:rsidP="00283518">
      <w:pPr>
        <w:pStyle w:val="Default"/>
        <w:jc w:val="center"/>
        <w:rPr>
          <w:sz w:val="23"/>
          <w:szCs w:val="23"/>
        </w:rPr>
      </w:pPr>
      <w:r>
        <w:rPr>
          <w:b/>
          <w:bCs/>
          <w:sz w:val="23"/>
          <w:szCs w:val="23"/>
        </w:rPr>
        <w:t>Bemidji State University</w:t>
      </w:r>
    </w:p>
    <w:p w14:paraId="5291430C" w14:textId="77777777" w:rsidR="0083658C" w:rsidRDefault="0083658C" w:rsidP="00283518">
      <w:pPr>
        <w:pStyle w:val="Default"/>
        <w:jc w:val="center"/>
        <w:rPr>
          <w:sz w:val="28"/>
          <w:szCs w:val="28"/>
        </w:rPr>
      </w:pPr>
      <w:r>
        <w:rPr>
          <w:sz w:val="28"/>
          <w:szCs w:val="28"/>
        </w:rPr>
        <w:t>Course Number: Course Title</w:t>
      </w:r>
    </w:p>
    <w:p w14:paraId="29C5F52F" w14:textId="77777777" w:rsidR="0083658C" w:rsidRDefault="0083658C" w:rsidP="00283518">
      <w:pPr>
        <w:pStyle w:val="Default"/>
        <w:jc w:val="center"/>
        <w:rPr>
          <w:sz w:val="28"/>
          <w:szCs w:val="28"/>
        </w:rPr>
      </w:pPr>
      <w:r>
        <w:rPr>
          <w:sz w:val="28"/>
          <w:szCs w:val="28"/>
        </w:rPr>
        <w:t>Course Credits</w:t>
      </w:r>
    </w:p>
    <w:p w14:paraId="2A5BCD0A" w14:textId="77777777" w:rsidR="0083658C" w:rsidRDefault="0083658C" w:rsidP="00283518">
      <w:pPr>
        <w:pStyle w:val="Default"/>
        <w:jc w:val="center"/>
        <w:rPr>
          <w:sz w:val="18"/>
          <w:szCs w:val="18"/>
        </w:rPr>
      </w:pPr>
      <w:r>
        <w:rPr>
          <w:sz w:val="18"/>
          <w:szCs w:val="18"/>
        </w:rPr>
        <w:t>[Course number and title must match the proposal form or current catalog]</w:t>
      </w:r>
    </w:p>
    <w:p w14:paraId="1ED5BE9E" w14:textId="77777777" w:rsidR="00283518" w:rsidRDefault="00283518" w:rsidP="0083658C">
      <w:pPr>
        <w:pStyle w:val="Default"/>
        <w:rPr>
          <w:b/>
          <w:bCs/>
          <w:sz w:val="22"/>
          <w:szCs w:val="22"/>
        </w:rPr>
      </w:pPr>
    </w:p>
    <w:p w14:paraId="08FE7FE7" w14:textId="77777777" w:rsidR="0083658C" w:rsidRDefault="0083658C" w:rsidP="0083658C">
      <w:pPr>
        <w:pStyle w:val="Default"/>
        <w:rPr>
          <w:sz w:val="22"/>
          <w:szCs w:val="22"/>
        </w:rPr>
      </w:pPr>
      <w:r>
        <w:rPr>
          <w:b/>
          <w:bCs/>
          <w:sz w:val="22"/>
          <w:szCs w:val="22"/>
        </w:rPr>
        <w:t xml:space="preserve">Contact Information: </w:t>
      </w:r>
    </w:p>
    <w:p w14:paraId="267D85DB" w14:textId="77777777" w:rsidR="0083658C" w:rsidRDefault="0083658C" w:rsidP="0083658C">
      <w:pPr>
        <w:pStyle w:val="Default"/>
        <w:rPr>
          <w:sz w:val="22"/>
          <w:szCs w:val="22"/>
        </w:rPr>
      </w:pPr>
      <w:r>
        <w:rPr>
          <w:sz w:val="22"/>
          <w:szCs w:val="22"/>
        </w:rPr>
        <w:t xml:space="preserve">Instructor: _______________________________ </w:t>
      </w:r>
    </w:p>
    <w:p w14:paraId="3884DA3B" w14:textId="77777777" w:rsidR="0083658C" w:rsidRDefault="0083658C" w:rsidP="0083658C">
      <w:pPr>
        <w:pStyle w:val="Default"/>
        <w:rPr>
          <w:sz w:val="22"/>
          <w:szCs w:val="22"/>
        </w:rPr>
      </w:pPr>
      <w:r>
        <w:rPr>
          <w:sz w:val="22"/>
          <w:szCs w:val="22"/>
        </w:rPr>
        <w:t xml:space="preserve">Office: _______________________________ </w:t>
      </w:r>
    </w:p>
    <w:p w14:paraId="5BB4E1B3" w14:textId="77777777" w:rsidR="0083658C" w:rsidRDefault="0083658C" w:rsidP="0083658C">
      <w:pPr>
        <w:pStyle w:val="Default"/>
        <w:rPr>
          <w:sz w:val="22"/>
          <w:szCs w:val="22"/>
        </w:rPr>
      </w:pPr>
      <w:r>
        <w:rPr>
          <w:sz w:val="22"/>
          <w:szCs w:val="22"/>
        </w:rPr>
        <w:t xml:space="preserve">Office Hours: _______________________________ </w:t>
      </w:r>
    </w:p>
    <w:p w14:paraId="454368D1" w14:textId="77777777" w:rsidR="0083658C" w:rsidRDefault="0083658C" w:rsidP="0083658C">
      <w:pPr>
        <w:pStyle w:val="Default"/>
        <w:rPr>
          <w:sz w:val="22"/>
          <w:szCs w:val="22"/>
        </w:rPr>
      </w:pPr>
      <w:r>
        <w:rPr>
          <w:sz w:val="22"/>
          <w:szCs w:val="22"/>
        </w:rPr>
        <w:t xml:space="preserve">Telephone: _______________________________ </w:t>
      </w:r>
    </w:p>
    <w:p w14:paraId="4618FD21" w14:textId="77777777" w:rsidR="0083658C" w:rsidRDefault="0083658C" w:rsidP="0083658C">
      <w:pPr>
        <w:pStyle w:val="Default"/>
        <w:rPr>
          <w:sz w:val="22"/>
          <w:szCs w:val="22"/>
        </w:rPr>
      </w:pPr>
      <w:r>
        <w:rPr>
          <w:sz w:val="22"/>
          <w:szCs w:val="22"/>
        </w:rPr>
        <w:t xml:space="preserve">E-mail: _______________________________ </w:t>
      </w:r>
    </w:p>
    <w:p w14:paraId="47B3C7B6" w14:textId="77777777" w:rsidR="00283518" w:rsidRDefault="00283518" w:rsidP="0083658C">
      <w:pPr>
        <w:pStyle w:val="Default"/>
        <w:rPr>
          <w:b/>
          <w:bCs/>
          <w:sz w:val="22"/>
          <w:szCs w:val="22"/>
        </w:rPr>
      </w:pPr>
    </w:p>
    <w:p w14:paraId="57015A19" w14:textId="77777777" w:rsidR="0083658C" w:rsidRDefault="0083658C" w:rsidP="0083658C">
      <w:pPr>
        <w:pStyle w:val="Default"/>
        <w:rPr>
          <w:sz w:val="22"/>
          <w:szCs w:val="22"/>
        </w:rPr>
      </w:pPr>
      <w:r>
        <w:rPr>
          <w:b/>
          <w:bCs/>
          <w:sz w:val="22"/>
          <w:szCs w:val="22"/>
        </w:rPr>
        <w:t xml:space="preserve">Course Description: </w:t>
      </w:r>
    </w:p>
    <w:p w14:paraId="69EA47C6" w14:textId="77777777" w:rsidR="0083658C" w:rsidRDefault="0083658C" w:rsidP="0083658C">
      <w:pPr>
        <w:pStyle w:val="Default"/>
        <w:rPr>
          <w:sz w:val="18"/>
          <w:szCs w:val="18"/>
        </w:rPr>
      </w:pPr>
      <w:r>
        <w:rPr>
          <w:sz w:val="18"/>
          <w:szCs w:val="18"/>
        </w:rPr>
        <w:t xml:space="preserve">[Course description must match the course change/proposal form and/or course catalog.] </w:t>
      </w:r>
    </w:p>
    <w:p w14:paraId="5BD056D6" w14:textId="77777777" w:rsidR="00283518" w:rsidRDefault="00283518" w:rsidP="0083658C">
      <w:pPr>
        <w:pStyle w:val="Default"/>
        <w:rPr>
          <w:b/>
          <w:bCs/>
          <w:sz w:val="22"/>
          <w:szCs w:val="22"/>
        </w:rPr>
      </w:pPr>
    </w:p>
    <w:p w14:paraId="62A03CC3" w14:textId="77777777" w:rsidR="0083658C" w:rsidRDefault="0083658C" w:rsidP="0083658C">
      <w:pPr>
        <w:pStyle w:val="Default"/>
        <w:rPr>
          <w:sz w:val="22"/>
          <w:szCs w:val="22"/>
        </w:rPr>
      </w:pPr>
      <w:r>
        <w:rPr>
          <w:b/>
          <w:bCs/>
          <w:sz w:val="22"/>
          <w:szCs w:val="22"/>
        </w:rPr>
        <w:t xml:space="preserve">Prerequisites/Co-Requisites: </w:t>
      </w:r>
    </w:p>
    <w:p w14:paraId="3847E9B2" w14:textId="77777777" w:rsidR="0083658C" w:rsidRDefault="0083658C" w:rsidP="0083658C">
      <w:pPr>
        <w:pStyle w:val="Default"/>
        <w:rPr>
          <w:sz w:val="18"/>
          <w:szCs w:val="18"/>
        </w:rPr>
      </w:pPr>
      <w:r>
        <w:rPr>
          <w:sz w:val="18"/>
          <w:szCs w:val="18"/>
        </w:rPr>
        <w:t xml:space="preserve">[This section removed if course does not require prerequisites or co-requisites.] </w:t>
      </w:r>
    </w:p>
    <w:p w14:paraId="39DD17DF" w14:textId="77777777" w:rsidR="00283518" w:rsidRDefault="00283518" w:rsidP="0083658C">
      <w:pPr>
        <w:pStyle w:val="Default"/>
        <w:rPr>
          <w:b/>
          <w:bCs/>
          <w:sz w:val="22"/>
          <w:szCs w:val="22"/>
        </w:rPr>
      </w:pPr>
    </w:p>
    <w:p w14:paraId="71E9A76A" w14:textId="77777777" w:rsidR="0083658C" w:rsidRDefault="0083658C" w:rsidP="0083658C">
      <w:pPr>
        <w:pStyle w:val="Default"/>
        <w:rPr>
          <w:sz w:val="22"/>
          <w:szCs w:val="22"/>
        </w:rPr>
      </w:pPr>
      <w:r>
        <w:rPr>
          <w:b/>
          <w:bCs/>
          <w:sz w:val="22"/>
          <w:szCs w:val="22"/>
        </w:rPr>
        <w:t xml:space="preserve">Liberal Education Goal Areas: </w:t>
      </w:r>
    </w:p>
    <w:p w14:paraId="2BC892CF" w14:textId="77777777" w:rsidR="0083658C" w:rsidRDefault="0083658C" w:rsidP="0083658C">
      <w:pPr>
        <w:pStyle w:val="Default"/>
        <w:rPr>
          <w:sz w:val="18"/>
          <w:szCs w:val="18"/>
        </w:rPr>
      </w:pPr>
      <w:r>
        <w:rPr>
          <w:sz w:val="18"/>
          <w:szCs w:val="18"/>
        </w:rPr>
        <w:t xml:space="preserve">[This section removed if not a course that meets a liberal education goal area(s).] </w:t>
      </w:r>
    </w:p>
    <w:p w14:paraId="48B4C812" w14:textId="77777777" w:rsidR="00283518" w:rsidRDefault="00283518" w:rsidP="0083658C">
      <w:pPr>
        <w:pStyle w:val="Default"/>
        <w:rPr>
          <w:b/>
          <w:bCs/>
          <w:sz w:val="22"/>
          <w:szCs w:val="22"/>
        </w:rPr>
      </w:pPr>
    </w:p>
    <w:p w14:paraId="5A6C2F35" w14:textId="77777777" w:rsidR="0083658C" w:rsidRDefault="0083658C" w:rsidP="0083658C">
      <w:pPr>
        <w:pStyle w:val="Default"/>
        <w:rPr>
          <w:sz w:val="22"/>
          <w:szCs w:val="22"/>
        </w:rPr>
      </w:pPr>
      <w:r>
        <w:rPr>
          <w:b/>
          <w:bCs/>
          <w:sz w:val="22"/>
          <w:szCs w:val="22"/>
        </w:rPr>
        <w:t xml:space="preserve">Textbooks/Materials: </w:t>
      </w:r>
    </w:p>
    <w:p w14:paraId="035BE7D6" w14:textId="77777777" w:rsidR="0083658C" w:rsidRDefault="0083658C" w:rsidP="0083658C">
      <w:pPr>
        <w:pStyle w:val="Default"/>
        <w:rPr>
          <w:sz w:val="18"/>
          <w:szCs w:val="18"/>
        </w:rPr>
      </w:pPr>
      <w:r>
        <w:rPr>
          <w:sz w:val="18"/>
          <w:szCs w:val="18"/>
        </w:rPr>
        <w:t xml:space="preserve">[Include textbooks and materials. (If there are no textbooks required for the class, indicate that here as well.)] </w:t>
      </w:r>
    </w:p>
    <w:p w14:paraId="77D9BF93" w14:textId="77777777" w:rsidR="00283518" w:rsidRDefault="00283518" w:rsidP="0083658C">
      <w:pPr>
        <w:pStyle w:val="Default"/>
        <w:rPr>
          <w:b/>
          <w:bCs/>
          <w:sz w:val="22"/>
          <w:szCs w:val="22"/>
        </w:rPr>
      </w:pPr>
    </w:p>
    <w:p w14:paraId="77976B80" w14:textId="77777777" w:rsidR="0083658C" w:rsidRDefault="0083658C" w:rsidP="0083658C">
      <w:pPr>
        <w:pStyle w:val="Default"/>
        <w:rPr>
          <w:sz w:val="22"/>
          <w:szCs w:val="22"/>
        </w:rPr>
      </w:pPr>
      <w:r>
        <w:rPr>
          <w:b/>
          <w:bCs/>
          <w:sz w:val="22"/>
          <w:szCs w:val="22"/>
        </w:rPr>
        <w:t xml:space="preserve">Grades: </w:t>
      </w:r>
    </w:p>
    <w:p w14:paraId="07040C82" w14:textId="77777777" w:rsidR="0083658C" w:rsidRDefault="0083658C" w:rsidP="0083658C">
      <w:pPr>
        <w:pStyle w:val="Default"/>
        <w:rPr>
          <w:sz w:val="18"/>
          <w:szCs w:val="18"/>
        </w:rPr>
      </w:pPr>
      <w:r>
        <w:rPr>
          <w:sz w:val="18"/>
          <w:szCs w:val="18"/>
        </w:rPr>
        <w:t xml:space="preserve">[Identify how assignments/course work will be graded (points, percentages, etc.); Include a rubric identifying what point number or percent corresponds with a letter grade; If the course is cross-level (i.e., graduate and undergraduate students can take the same course), additional expectations for graduate student work MUST be included, as well as a grading scale for both graduate student grades and undergraduate student grades.] </w:t>
      </w:r>
    </w:p>
    <w:p w14:paraId="41608635" w14:textId="77777777" w:rsidR="00283518" w:rsidRDefault="00283518" w:rsidP="0083658C">
      <w:pPr>
        <w:pStyle w:val="Default"/>
        <w:rPr>
          <w:b/>
          <w:bCs/>
          <w:sz w:val="22"/>
          <w:szCs w:val="22"/>
        </w:rPr>
      </w:pPr>
    </w:p>
    <w:p w14:paraId="2F0974D3" w14:textId="77777777" w:rsidR="0083658C" w:rsidRDefault="0083658C" w:rsidP="0083658C">
      <w:pPr>
        <w:pStyle w:val="Default"/>
        <w:rPr>
          <w:sz w:val="22"/>
          <w:szCs w:val="22"/>
        </w:rPr>
      </w:pPr>
      <w:r>
        <w:rPr>
          <w:b/>
          <w:bCs/>
          <w:sz w:val="22"/>
          <w:szCs w:val="22"/>
        </w:rPr>
        <w:t xml:space="preserve">Learning Outcomes: </w:t>
      </w:r>
    </w:p>
    <w:p w14:paraId="18D386C4" w14:textId="77777777" w:rsidR="0083658C" w:rsidRDefault="0083658C" w:rsidP="0083658C">
      <w:pPr>
        <w:pStyle w:val="Default"/>
        <w:rPr>
          <w:sz w:val="22"/>
          <w:szCs w:val="22"/>
        </w:rPr>
      </w:pPr>
      <w:r>
        <w:rPr>
          <w:sz w:val="22"/>
          <w:szCs w:val="22"/>
        </w:rPr>
        <w:t xml:space="preserve">Students will: </w:t>
      </w:r>
    </w:p>
    <w:p w14:paraId="05E5C4F4" w14:textId="77777777" w:rsidR="003A6C75" w:rsidRDefault="003A6C75" w:rsidP="0083658C">
      <w:pPr>
        <w:pStyle w:val="Default"/>
        <w:numPr>
          <w:ilvl w:val="0"/>
          <w:numId w:val="1"/>
        </w:numPr>
        <w:spacing w:after="38"/>
        <w:rPr>
          <w:sz w:val="22"/>
          <w:szCs w:val="22"/>
        </w:rPr>
      </w:pPr>
    </w:p>
    <w:p w14:paraId="5AC17D83" w14:textId="77777777" w:rsidR="0083658C" w:rsidRPr="003A6C75" w:rsidRDefault="0083658C" w:rsidP="0083658C">
      <w:pPr>
        <w:pStyle w:val="Default"/>
        <w:numPr>
          <w:ilvl w:val="0"/>
          <w:numId w:val="1"/>
        </w:numPr>
        <w:spacing w:after="38"/>
        <w:rPr>
          <w:sz w:val="22"/>
          <w:szCs w:val="22"/>
        </w:rPr>
      </w:pPr>
    </w:p>
    <w:p w14:paraId="4BF8DF42" w14:textId="77777777" w:rsidR="0083658C" w:rsidRDefault="0083658C" w:rsidP="0083658C">
      <w:pPr>
        <w:pStyle w:val="Default"/>
        <w:rPr>
          <w:sz w:val="22"/>
          <w:szCs w:val="22"/>
        </w:rPr>
      </w:pPr>
    </w:p>
    <w:p w14:paraId="2599CA8F" w14:textId="77777777" w:rsidR="0083658C" w:rsidRDefault="0083658C" w:rsidP="0083658C">
      <w:pPr>
        <w:pStyle w:val="Default"/>
        <w:rPr>
          <w:sz w:val="22"/>
          <w:szCs w:val="22"/>
        </w:rPr>
      </w:pPr>
      <w:r>
        <w:rPr>
          <w:b/>
          <w:bCs/>
          <w:sz w:val="22"/>
          <w:szCs w:val="22"/>
        </w:rPr>
        <w:t xml:space="preserve">Major Content Areas: </w:t>
      </w:r>
    </w:p>
    <w:p w14:paraId="17FC92CA" w14:textId="77777777" w:rsidR="0083658C" w:rsidRDefault="0083658C" w:rsidP="0083658C">
      <w:pPr>
        <w:pStyle w:val="Default"/>
        <w:numPr>
          <w:ilvl w:val="0"/>
          <w:numId w:val="2"/>
        </w:numPr>
        <w:spacing w:after="38"/>
        <w:rPr>
          <w:sz w:val="22"/>
          <w:szCs w:val="22"/>
        </w:rPr>
      </w:pPr>
    </w:p>
    <w:p w14:paraId="4F9803C2" w14:textId="77777777" w:rsidR="0083658C" w:rsidRDefault="0083658C" w:rsidP="0083658C">
      <w:pPr>
        <w:pStyle w:val="Default"/>
        <w:numPr>
          <w:ilvl w:val="0"/>
          <w:numId w:val="2"/>
        </w:numPr>
        <w:rPr>
          <w:sz w:val="22"/>
          <w:szCs w:val="22"/>
        </w:rPr>
      </w:pPr>
    </w:p>
    <w:p w14:paraId="15D5020B" w14:textId="77777777" w:rsidR="0083658C" w:rsidRDefault="0083658C" w:rsidP="0083658C">
      <w:pPr>
        <w:pStyle w:val="Default"/>
        <w:rPr>
          <w:sz w:val="22"/>
          <w:szCs w:val="22"/>
        </w:rPr>
      </w:pPr>
    </w:p>
    <w:p w14:paraId="27BC2E4C" w14:textId="77777777" w:rsidR="0083658C" w:rsidRDefault="0083658C" w:rsidP="0083658C">
      <w:pPr>
        <w:pStyle w:val="Default"/>
        <w:rPr>
          <w:sz w:val="22"/>
          <w:szCs w:val="22"/>
        </w:rPr>
      </w:pPr>
      <w:r>
        <w:rPr>
          <w:b/>
          <w:bCs/>
          <w:sz w:val="22"/>
          <w:szCs w:val="22"/>
        </w:rPr>
        <w:t xml:space="preserve">Outline/Assignments: </w:t>
      </w:r>
    </w:p>
    <w:p w14:paraId="7948EC54" w14:textId="77777777" w:rsidR="0083658C" w:rsidRDefault="0083658C" w:rsidP="0083658C">
      <w:pPr>
        <w:pStyle w:val="Default"/>
        <w:numPr>
          <w:ilvl w:val="0"/>
          <w:numId w:val="3"/>
        </w:numPr>
        <w:spacing w:after="38"/>
        <w:rPr>
          <w:sz w:val="22"/>
          <w:szCs w:val="22"/>
        </w:rPr>
      </w:pPr>
    </w:p>
    <w:p w14:paraId="7D9F40BB" w14:textId="77777777" w:rsidR="0083658C" w:rsidRDefault="0083658C" w:rsidP="0083658C">
      <w:pPr>
        <w:pStyle w:val="Default"/>
        <w:numPr>
          <w:ilvl w:val="0"/>
          <w:numId w:val="3"/>
        </w:numPr>
        <w:rPr>
          <w:sz w:val="22"/>
          <w:szCs w:val="22"/>
        </w:rPr>
      </w:pPr>
    </w:p>
    <w:p w14:paraId="61834DA1" w14:textId="77777777" w:rsidR="0083658C" w:rsidRDefault="0083658C" w:rsidP="0083658C">
      <w:pPr>
        <w:pStyle w:val="Default"/>
        <w:rPr>
          <w:sz w:val="22"/>
          <w:szCs w:val="22"/>
        </w:rPr>
      </w:pPr>
    </w:p>
    <w:p w14:paraId="0545F188" w14:textId="77777777" w:rsidR="0083658C" w:rsidRDefault="0083658C" w:rsidP="0083658C">
      <w:pPr>
        <w:pStyle w:val="Default"/>
        <w:rPr>
          <w:sz w:val="22"/>
          <w:szCs w:val="22"/>
        </w:rPr>
      </w:pPr>
      <w:r>
        <w:rPr>
          <w:b/>
          <w:bCs/>
          <w:sz w:val="22"/>
          <w:szCs w:val="22"/>
        </w:rPr>
        <w:t xml:space="preserve">Topics/Schedule: </w:t>
      </w:r>
    </w:p>
    <w:p w14:paraId="674FB24A" w14:textId="77777777" w:rsidR="003A6C75" w:rsidRDefault="00245EEE" w:rsidP="0083658C">
      <w:pPr>
        <w:pStyle w:val="Default"/>
        <w:rPr>
          <w:sz w:val="18"/>
          <w:szCs w:val="18"/>
        </w:rPr>
      </w:pPr>
      <w:r>
        <w:rPr>
          <w:sz w:val="18"/>
          <w:szCs w:val="18"/>
        </w:rPr>
        <w:t>[</w:t>
      </w:r>
      <w:r w:rsidR="0083658C">
        <w:rPr>
          <w:sz w:val="18"/>
          <w:szCs w:val="18"/>
        </w:rPr>
        <w:t xml:space="preserve">List the topics covered in the class by week </w:t>
      </w:r>
      <w:r w:rsidR="00C77E5D">
        <w:rPr>
          <w:sz w:val="18"/>
          <w:szCs w:val="18"/>
        </w:rPr>
        <w:t xml:space="preserve">(example </w:t>
      </w:r>
      <w:r w:rsidR="0083658C">
        <w:rPr>
          <w:sz w:val="18"/>
          <w:szCs w:val="18"/>
        </w:rPr>
        <w:t>below</w:t>
      </w:r>
      <w:r w:rsidR="00C77E5D">
        <w:rPr>
          <w:sz w:val="18"/>
          <w:szCs w:val="18"/>
        </w:rPr>
        <w:t>), by class dates, or by another means which communicates material covered during the semester.</w:t>
      </w:r>
      <w:r>
        <w:rPr>
          <w:sz w:val="18"/>
          <w:szCs w:val="18"/>
        </w:rPr>
        <w:t>]</w:t>
      </w:r>
    </w:p>
    <w:p w14:paraId="7777B073" w14:textId="77777777" w:rsidR="0083658C" w:rsidRPr="00245EEE" w:rsidRDefault="0083658C" w:rsidP="0083658C">
      <w:pPr>
        <w:pStyle w:val="Default"/>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tblGrid>
      <w:tr w:rsidR="00245EEE" w:rsidRPr="00245EEE" w14:paraId="68C2916B" w14:textId="77777777" w:rsidTr="00245EEE">
        <w:trPr>
          <w:trHeight w:val="98"/>
        </w:trPr>
        <w:tc>
          <w:tcPr>
            <w:tcW w:w="5413" w:type="dxa"/>
          </w:tcPr>
          <w:p w14:paraId="45B91760" w14:textId="77777777" w:rsidR="00245EEE" w:rsidRPr="00245EEE" w:rsidRDefault="00245EEE">
            <w:pPr>
              <w:pStyle w:val="Default"/>
              <w:rPr>
                <w:sz w:val="18"/>
                <w:szCs w:val="18"/>
              </w:rPr>
            </w:pPr>
            <w:r w:rsidRPr="00245EEE">
              <w:rPr>
                <w:b/>
                <w:bCs/>
                <w:sz w:val="18"/>
                <w:szCs w:val="18"/>
              </w:rPr>
              <w:t>Week:             Topic:</w:t>
            </w:r>
          </w:p>
        </w:tc>
      </w:tr>
      <w:tr w:rsidR="0083658C" w:rsidRPr="00245EEE" w14:paraId="560E07BE" w14:textId="77777777" w:rsidTr="00245EEE">
        <w:trPr>
          <w:trHeight w:val="100"/>
        </w:trPr>
        <w:tc>
          <w:tcPr>
            <w:tcW w:w="5413" w:type="dxa"/>
          </w:tcPr>
          <w:p w14:paraId="0B51A405" w14:textId="77777777" w:rsidR="0083658C" w:rsidRPr="00245EEE" w:rsidRDefault="0083658C">
            <w:pPr>
              <w:pStyle w:val="Default"/>
              <w:rPr>
                <w:sz w:val="18"/>
                <w:szCs w:val="18"/>
              </w:rPr>
            </w:pPr>
            <w:r w:rsidRPr="00245EEE">
              <w:rPr>
                <w:sz w:val="18"/>
                <w:szCs w:val="18"/>
              </w:rPr>
              <w:t xml:space="preserve">Week 1 </w:t>
            </w:r>
          </w:p>
        </w:tc>
      </w:tr>
      <w:tr w:rsidR="0083658C" w:rsidRPr="00245EEE" w14:paraId="3FD6211B" w14:textId="77777777" w:rsidTr="00245EEE">
        <w:trPr>
          <w:trHeight w:val="100"/>
        </w:trPr>
        <w:tc>
          <w:tcPr>
            <w:tcW w:w="5413" w:type="dxa"/>
          </w:tcPr>
          <w:p w14:paraId="734BD924" w14:textId="77777777" w:rsidR="0083658C" w:rsidRPr="00245EEE" w:rsidRDefault="0083658C">
            <w:pPr>
              <w:pStyle w:val="Default"/>
              <w:rPr>
                <w:sz w:val="18"/>
                <w:szCs w:val="18"/>
              </w:rPr>
            </w:pPr>
            <w:r w:rsidRPr="00245EEE">
              <w:rPr>
                <w:sz w:val="18"/>
                <w:szCs w:val="18"/>
              </w:rPr>
              <w:t xml:space="preserve">Week 2 </w:t>
            </w:r>
          </w:p>
        </w:tc>
      </w:tr>
      <w:tr w:rsidR="0083658C" w:rsidRPr="00245EEE" w14:paraId="455F5C03" w14:textId="77777777" w:rsidTr="00245EEE">
        <w:trPr>
          <w:trHeight w:val="100"/>
        </w:trPr>
        <w:tc>
          <w:tcPr>
            <w:tcW w:w="5413" w:type="dxa"/>
          </w:tcPr>
          <w:p w14:paraId="14C0D95C" w14:textId="77777777" w:rsidR="0083658C" w:rsidRPr="00245EEE" w:rsidRDefault="0083658C">
            <w:pPr>
              <w:pStyle w:val="Default"/>
              <w:rPr>
                <w:sz w:val="18"/>
                <w:szCs w:val="18"/>
              </w:rPr>
            </w:pPr>
            <w:r w:rsidRPr="00245EEE">
              <w:rPr>
                <w:sz w:val="18"/>
                <w:szCs w:val="18"/>
              </w:rPr>
              <w:t xml:space="preserve">Week 3 </w:t>
            </w:r>
          </w:p>
        </w:tc>
      </w:tr>
      <w:tr w:rsidR="0083658C" w:rsidRPr="00245EEE" w14:paraId="6CDE7FB2" w14:textId="77777777" w:rsidTr="00245EEE">
        <w:trPr>
          <w:trHeight w:val="100"/>
        </w:trPr>
        <w:tc>
          <w:tcPr>
            <w:tcW w:w="5413" w:type="dxa"/>
          </w:tcPr>
          <w:p w14:paraId="7659C4C4" w14:textId="77777777" w:rsidR="0083658C" w:rsidRPr="00245EEE" w:rsidRDefault="0083658C">
            <w:pPr>
              <w:pStyle w:val="Default"/>
              <w:rPr>
                <w:sz w:val="18"/>
                <w:szCs w:val="18"/>
              </w:rPr>
            </w:pPr>
            <w:r w:rsidRPr="00245EEE">
              <w:rPr>
                <w:sz w:val="18"/>
                <w:szCs w:val="18"/>
              </w:rPr>
              <w:t xml:space="preserve">Week 4 </w:t>
            </w:r>
          </w:p>
        </w:tc>
      </w:tr>
      <w:tr w:rsidR="0083658C" w:rsidRPr="00245EEE" w14:paraId="5BAB485C" w14:textId="77777777" w:rsidTr="00245EEE">
        <w:trPr>
          <w:trHeight w:val="100"/>
        </w:trPr>
        <w:tc>
          <w:tcPr>
            <w:tcW w:w="5413" w:type="dxa"/>
          </w:tcPr>
          <w:p w14:paraId="2ED5D078" w14:textId="77777777" w:rsidR="0083658C" w:rsidRPr="00245EEE" w:rsidRDefault="0083658C">
            <w:pPr>
              <w:pStyle w:val="Default"/>
              <w:rPr>
                <w:sz w:val="18"/>
                <w:szCs w:val="18"/>
              </w:rPr>
            </w:pPr>
            <w:r w:rsidRPr="00245EEE">
              <w:rPr>
                <w:sz w:val="18"/>
                <w:szCs w:val="18"/>
              </w:rPr>
              <w:t xml:space="preserve">Week 5 </w:t>
            </w:r>
          </w:p>
        </w:tc>
      </w:tr>
      <w:tr w:rsidR="0083658C" w:rsidRPr="00245EEE" w14:paraId="0F62A674" w14:textId="77777777" w:rsidTr="00245EEE">
        <w:trPr>
          <w:trHeight w:val="100"/>
        </w:trPr>
        <w:tc>
          <w:tcPr>
            <w:tcW w:w="5413" w:type="dxa"/>
          </w:tcPr>
          <w:p w14:paraId="5503D72C" w14:textId="77777777" w:rsidR="0083658C" w:rsidRPr="00245EEE" w:rsidRDefault="0083658C">
            <w:pPr>
              <w:pStyle w:val="Default"/>
              <w:rPr>
                <w:sz w:val="18"/>
                <w:szCs w:val="18"/>
              </w:rPr>
            </w:pPr>
            <w:r w:rsidRPr="00245EEE">
              <w:rPr>
                <w:sz w:val="18"/>
                <w:szCs w:val="18"/>
              </w:rPr>
              <w:t xml:space="preserve">Week 6 </w:t>
            </w:r>
          </w:p>
        </w:tc>
      </w:tr>
      <w:tr w:rsidR="0083658C" w:rsidRPr="00245EEE" w14:paraId="2EAB5C26" w14:textId="77777777" w:rsidTr="00245EEE">
        <w:trPr>
          <w:trHeight w:val="100"/>
        </w:trPr>
        <w:tc>
          <w:tcPr>
            <w:tcW w:w="5413" w:type="dxa"/>
          </w:tcPr>
          <w:p w14:paraId="56986018" w14:textId="77777777" w:rsidR="0083658C" w:rsidRPr="00245EEE" w:rsidRDefault="0083658C">
            <w:pPr>
              <w:pStyle w:val="Default"/>
              <w:rPr>
                <w:sz w:val="18"/>
                <w:szCs w:val="18"/>
              </w:rPr>
            </w:pPr>
            <w:r w:rsidRPr="00245EEE">
              <w:rPr>
                <w:sz w:val="18"/>
                <w:szCs w:val="18"/>
              </w:rPr>
              <w:t xml:space="preserve">Week 7 </w:t>
            </w:r>
          </w:p>
        </w:tc>
      </w:tr>
      <w:tr w:rsidR="0083658C" w:rsidRPr="00245EEE" w14:paraId="7D31E427" w14:textId="77777777" w:rsidTr="00245EEE">
        <w:trPr>
          <w:trHeight w:val="100"/>
        </w:trPr>
        <w:tc>
          <w:tcPr>
            <w:tcW w:w="5413" w:type="dxa"/>
          </w:tcPr>
          <w:p w14:paraId="7EFAF910" w14:textId="77777777" w:rsidR="0083658C" w:rsidRPr="00245EEE" w:rsidRDefault="0083658C">
            <w:pPr>
              <w:pStyle w:val="Default"/>
              <w:rPr>
                <w:sz w:val="18"/>
                <w:szCs w:val="18"/>
              </w:rPr>
            </w:pPr>
            <w:r w:rsidRPr="00245EEE">
              <w:rPr>
                <w:sz w:val="18"/>
                <w:szCs w:val="18"/>
              </w:rPr>
              <w:t xml:space="preserve">Week 8 </w:t>
            </w:r>
          </w:p>
        </w:tc>
      </w:tr>
      <w:tr w:rsidR="0083658C" w:rsidRPr="00245EEE" w14:paraId="7A38CD9E" w14:textId="77777777" w:rsidTr="00245EEE">
        <w:trPr>
          <w:trHeight w:val="100"/>
        </w:trPr>
        <w:tc>
          <w:tcPr>
            <w:tcW w:w="5413" w:type="dxa"/>
          </w:tcPr>
          <w:p w14:paraId="7E0AAA6B" w14:textId="77777777" w:rsidR="0083658C" w:rsidRPr="00245EEE" w:rsidRDefault="0083658C">
            <w:pPr>
              <w:pStyle w:val="Default"/>
              <w:rPr>
                <w:sz w:val="18"/>
                <w:szCs w:val="18"/>
              </w:rPr>
            </w:pPr>
            <w:r w:rsidRPr="00245EEE">
              <w:rPr>
                <w:sz w:val="18"/>
                <w:szCs w:val="18"/>
              </w:rPr>
              <w:t xml:space="preserve">Week 9 </w:t>
            </w:r>
          </w:p>
        </w:tc>
      </w:tr>
      <w:tr w:rsidR="0083658C" w:rsidRPr="00245EEE" w14:paraId="41E2F605" w14:textId="77777777" w:rsidTr="00245EEE">
        <w:trPr>
          <w:trHeight w:val="100"/>
        </w:trPr>
        <w:tc>
          <w:tcPr>
            <w:tcW w:w="5413" w:type="dxa"/>
          </w:tcPr>
          <w:p w14:paraId="70352540" w14:textId="77777777" w:rsidR="0083658C" w:rsidRPr="00245EEE" w:rsidRDefault="0083658C">
            <w:pPr>
              <w:pStyle w:val="Default"/>
              <w:rPr>
                <w:sz w:val="18"/>
                <w:szCs w:val="18"/>
              </w:rPr>
            </w:pPr>
            <w:r w:rsidRPr="00245EEE">
              <w:rPr>
                <w:sz w:val="18"/>
                <w:szCs w:val="18"/>
              </w:rPr>
              <w:t xml:space="preserve">Week 10 </w:t>
            </w:r>
          </w:p>
        </w:tc>
      </w:tr>
      <w:tr w:rsidR="0083658C" w:rsidRPr="00245EEE" w14:paraId="4938F2B8" w14:textId="77777777" w:rsidTr="00245EEE">
        <w:trPr>
          <w:trHeight w:val="100"/>
        </w:trPr>
        <w:tc>
          <w:tcPr>
            <w:tcW w:w="5413" w:type="dxa"/>
          </w:tcPr>
          <w:p w14:paraId="3B04FBB4" w14:textId="77777777" w:rsidR="0083658C" w:rsidRPr="00245EEE" w:rsidRDefault="0083658C">
            <w:pPr>
              <w:pStyle w:val="Default"/>
              <w:rPr>
                <w:sz w:val="18"/>
                <w:szCs w:val="18"/>
              </w:rPr>
            </w:pPr>
            <w:r w:rsidRPr="00245EEE">
              <w:rPr>
                <w:sz w:val="18"/>
                <w:szCs w:val="18"/>
              </w:rPr>
              <w:lastRenderedPageBreak/>
              <w:t xml:space="preserve">Week 11 </w:t>
            </w:r>
          </w:p>
        </w:tc>
      </w:tr>
      <w:tr w:rsidR="0083658C" w:rsidRPr="00245EEE" w14:paraId="10523CD6" w14:textId="77777777" w:rsidTr="00245EEE">
        <w:trPr>
          <w:trHeight w:val="100"/>
        </w:trPr>
        <w:tc>
          <w:tcPr>
            <w:tcW w:w="5413" w:type="dxa"/>
          </w:tcPr>
          <w:p w14:paraId="28C45DE1" w14:textId="77777777" w:rsidR="0083658C" w:rsidRPr="00245EEE" w:rsidRDefault="0083658C">
            <w:pPr>
              <w:pStyle w:val="Default"/>
              <w:rPr>
                <w:sz w:val="18"/>
                <w:szCs w:val="18"/>
              </w:rPr>
            </w:pPr>
            <w:r w:rsidRPr="00245EEE">
              <w:rPr>
                <w:sz w:val="18"/>
                <w:szCs w:val="18"/>
              </w:rPr>
              <w:t xml:space="preserve">Week 12 </w:t>
            </w:r>
          </w:p>
        </w:tc>
      </w:tr>
      <w:tr w:rsidR="0083658C" w:rsidRPr="00245EEE" w14:paraId="6896B87B" w14:textId="77777777" w:rsidTr="00245EEE">
        <w:trPr>
          <w:trHeight w:val="100"/>
        </w:trPr>
        <w:tc>
          <w:tcPr>
            <w:tcW w:w="5413" w:type="dxa"/>
          </w:tcPr>
          <w:p w14:paraId="3DF484C8" w14:textId="77777777" w:rsidR="0083658C" w:rsidRPr="00245EEE" w:rsidRDefault="0083658C">
            <w:pPr>
              <w:pStyle w:val="Default"/>
              <w:rPr>
                <w:sz w:val="18"/>
                <w:szCs w:val="18"/>
              </w:rPr>
            </w:pPr>
            <w:r w:rsidRPr="00245EEE">
              <w:rPr>
                <w:sz w:val="18"/>
                <w:szCs w:val="18"/>
              </w:rPr>
              <w:t xml:space="preserve">Week 13 </w:t>
            </w:r>
          </w:p>
        </w:tc>
      </w:tr>
      <w:tr w:rsidR="0083658C" w:rsidRPr="00245EEE" w14:paraId="4B13D009" w14:textId="77777777" w:rsidTr="00245EEE">
        <w:trPr>
          <w:trHeight w:val="100"/>
        </w:trPr>
        <w:tc>
          <w:tcPr>
            <w:tcW w:w="5413" w:type="dxa"/>
          </w:tcPr>
          <w:p w14:paraId="79303FFD" w14:textId="77777777" w:rsidR="0083658C" w:rsidRPr="00245EEE" w:rsidRDefault="0083658C">
            <w:pPr>
              <w:pStyle w:val="Default"/>
              <w:rPr>
                <w:sz w:val="18"/>
                <w:szCs w:val="18"/>
              </w:rPr>
            </w:pPr>
            <w:r w:rsidRPr="00245EEE">
              <w:rPr>
                <w:sz w:val="18"/>
                <w:szCs w:val="18"/>
              </w:rPr>
              <w:t xml:space="preserve">Week 14 </w:t>
            </w:r>
          </w:p>
        </w:tc>
      </w:tr>
      <w:tr w:rsidR="0083658C" w:rsidRPr="00245EEE" w14:paraId="4D31E31F" w14:textId="77777777" w:rsidTr="00245EEE">
        <w:trPr>
          <w:trHeight w:val="100"/>
        </w:trPr>
        <w:tc>
          <w:tcPr>
            <w:tcW w:w="5413" w:type="dxa"/>
          </w:tcPr>
          <w:p w14:paraId="5220BE50" w14:textId="77777777" w:rsidR="0083658C" w:rsidRPr="00245EEE" w:rsidRDefault="0083658C">
            <w:pPr>
              <w:pStyle w:val="Default"/>
              <w:rPr>
                <w:sz w:val="18"/>
                <w:szCs w:val="18"/>
              </w:rPr>
            </w:pPr>
            <w:r w:rsidRPr="00245EEE">
              <w:rPr>
                <w:sz w:val="18"/>
                <w:szCs w:val="18"/>
              </w:rPr>
              <w:t xml:space="preserve">Week 15 </w:t>
            </w:r>
          </w:p>
        </w:tc>
      </w:tr>
      <w:tr w:rsidR="0083658C" w:rsidRPr="00245EEE" w14:paraId="563EDE2B" w14:textId="77777777" w:rsidTr="00245EEE">
        <w:trPr>
          <w:trHeight w:val="100"/>
        </w:trPr>
        <w:tc>
          <w:tcPr>
            <w:tcW w:w="5413" w:type="dxa"/>
          </w:tcPr>
          <w:p w14:paraId="0DE2F0DC" w14:textId="77777777" w:rsidR="0083658C" w:rsidRPr="00245EEE" w:rsidRDefault="0083658C">
            <w:pPr>
              <w:pStyle w:val="Default"/>
              <w:rPr>
                <w:sz w:val="18"/>
                <w:szCs w:val="18"/>
              </w:rPr>
            </w:pPr>
            <w:r w:rsidRPr="00245EEE">
              <w:rPr>
                <w:sz w:val="18"/>
                <w:szCs w:val="18"/>
              </w:rPr>
              <w:t xml:space="preserve">Week 16 </w:t>
            </w:r>
          </w:p>
        </w:tc>
      </w:tr>
    </w:tbl>
    <w:p w14:paraId="44DE04F1" w14:textId="77777777" w:rsidR="00AA7F14" w:rsidRPr="00245EEE" w:rsidRDefault="00AA7F14">
      <w:pPr>
        <w:rPr>
          <w:b/>
          <w:bCs/>
          <w:sz w:val="18"/>
          <w:szCs w:val="18"/>
        </w:rPr>
      </w:pPr>
    </w:p>
    <w:p w14:paraId="14706BEB" w14:textId="77777777" w:rsidR="00AA7F14" w:rsidRDefault="00AA7F14">
      <w:pPr>
        <w:rPr>
          <w:b/>
          <w:bCs/>
          <w:sz w:val="23"/>
          <w:szCs w:val="23"/>
        </w:rPr>
      </w:pPr>
    </w:p>
    <w:p w14:paraId="37E8CC18" w14:textId="77777777" w:rsidR="00245EEE" w:rsidRDefault="00AA7F14">
      <w:pPr>
        <w:rPr>
          <w:sz w:val="22"/>
        </w:rPr>
      </w:pPr>
      <w:r w:rsidRPr="00245EEE">
        <w:rPr>
          <w:b/>
          <w:bCs/>
          <w:sz w:val="22"/>
        </w:rPr>
        <w:t>Time expectations</w:t>
      </w:r>
      <w:r w:rsidR="00245EEE">
        <w:rPr>
          <w:b/>
          <w:bCs/>
          <w:sz w:val="22"/>
        </w:rPr>
        <w:t>:</w:t>
      </w:r>
    </w:p>
    <w:p w14:paraId="78EA979F" w14:textId="77777777" w:rsidR="003E6698" w:rsidRPr="00245EEE" w:rsidRDefault="00245EEE">
      <w:pPr>
        <w:rPr>
          <w:sz w:val="18"/>
          <w:szCs w:val="18"/>
        </w:rPr>
      </w:pPr>
      <w:r w:rsidRPr="00245EEE">
        <w:rPr>
          <w:sz w:val="18"/>
          <w:szCs w:val="18"/>
        </w:rPr>
        <w:t>[</w:t>
      </w:r>
      <w:r w:rsidR="00AA7F14" w:rsidRPr="00245EEE">
        <w:rPr>
          <w:sz w:val="18"/>
          <w:szCs w:val="18"/>
        </w:rPr>
        <w:t>State the number of hours a student should expect to work outside of class.</w:t>
      </w:r>
      <w:r w:rsidRPr="00245EEE">
        <w:rPr>
          <w:sz w:val="18"/>
          <w:szCs w:val="18"/>
        </w:rPr>
        <w:t>]</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6"/>
        <w:gridCol w:w="3046"/>
        <w:gridCol w:w="41"/>
        <w:gridCol w:w="3330"/>
      </w:tblGrid>
      <w:tr w:rsidR="002A2D8E" w:rsidRPr="00245EEE" w14:paraId="48DA6FFC" w14:textId="77777777" w:rsidTr="00AA7F14">
        <w:trPr>
          <w:trHeight w:val="247"/>
        </w:trPr>
        <w:tc>
          <w:tcPr>
            <w:tcW w:w="3046" w:type="dxa"/>
          </w:tcPr>
          <w:p w14:paraId="5AC7A5F9" w14:textId="77777777" w:rsidR="002A2D8E" w:rsidRPr="00245EEE" w:rsidRDefault="002A2D8E" w:rsidP="0009522A">
            <w:pPr>
              <w:pStyle w:val="Default"/>
              <w:rPr>
                <w:sz w:val="18"/>
                <w:szCs w:val="18"/>
              </w:rPr>
            </w:pPr>
            <w:r w:rsidRPr="00245EEE">
              <w:rPr>
                <w:sz w:val="18"/>
                <w:szCs w:val="18"/>
              </w:rPr>
              <w:t xml:space="preserve">Instruction Delivery Mode </w:t>
            </w:r>
          </w:p>
        </w:tc>
        <w:tc>
          <w:tcPr>
            <w:tcW w:w="3046" w:type="dxa"/>
          </w:tcPr>
          <w:p w14:paraId="38371AFF" w14:textId="77777777" w:rsidR="002A2D8E" w:rsidRPr="00245EEE" w:rsidRDefault="002A2D8E" w:rsidP="0009522A">
            <w:pPr>
              <w:pStyle w:val="Default"/>
              <w:rPr>
                <w:sz w:val="18"/>
                <w:szCs w:val="18"/>
              </w:rPr>
            </w:pPr>
            <w:r w:rsidRPr="00245EEE">
              <w:rPr>
                <w:sz w:val="18"/>
                <w:szCs w:val="18"/>
              </w:rPr>
              <w:t xml:space="preserve">Hours of in class “Seat Time” per credit </w:t>
            </w:r>
          </w:p>
        </w:tc>
        <w:tc>
          <w:tcPr>
            <w:tcW w:w="3371" w:type="dxa"/>
            <w:gridSpan w:val="2"/>
          </w:tcPr>
          <w:p w14:paraId="351384CD" w14:textId="77777777" w:rsidR="002A2D8E" w:rsidRPr="00245EEE" w:rsidRDefault="002A2D8E" w:rsidP="0009522A">
            <w:pPr>
              <w:pStyle w:val="Default"/>
              <w:rPr>
                <w:sz w:val="18"/>
                <w:szCs w:val="18"/>
              </w:rPr>
            </w:pPr>
            <w:r w:rsidRPr="00245EEE">
              <w:rPr>
                <w:sz w:val="18"/>
                <w:szCs w:val="18"/>
              </w:rPr>
              <w:t xml:space="preserve">Expected hours of course work outside of class per credit </w:t>
            </w:r>
          </w:p>
        </w:tc>
      </w:tr>
      <w:tr w:rsidR="002A2D8E" w:rsidRPr="00245EEE" w14:paraId="418E51EC" w14:textId="77777777" w:rsidTr="00AA7F14">
        <w:trPr>
          <w:trHeight w:val="109"/>
        </w:trPr>
        <w:tc>
          <w:tcPr>
            <w:tcW w:w="3046" w:type="dxa"/>
          </w:tcPr>
          <w:p w14:paraId="7F06E345" w14:textId="77777777" w:rsidR="002A2D8E" w:rsidRPr="00245EEE" w:rsidRDefault="002A2D8E" w:rsidP="0009522A">
            <w:pPr>
              <w:pStyle w:val="Default"/>
              <w:rPr>
                <w:sz w:val="18"/>
                <w:szCs w:val="18"/>
              </w:rPr>
            </w:pPr>
            <w:r w:rsidRPr="00245EEE">
              <w:rPr>
                <w:sz w:val="18"/>
                <w:szCs w:val="18"/>
              </w:rPr>
              <w:t xml:space="preserve">Lecture </w:t>
            </w:r>
          </w:p>
        </w:tc>
        <w:tc>
          <w:tcPr>
            <w:tcW w:w="3046" w:type="dxa"/>
          </w:tcPr>
          <w:p w14:paraId="4649CE45" w14:textId="77777777" w:rsidR="002A2D8E" w:rsidRPr="00245EEE" w:rsidRDefault="002A2D8E" w:rsidP="0009522A">
            <w:pPr>
              <w:pStyle w:val="Default"/>
              <w:rPr>
                <w:sz w:val="18"/>
                <w:szCs w:val="18"/>
              </w:rPr>
            </w:pPr>
            <w:r w:rsidRPr="00245EEE">
              <w:rPr>
                <w:sz w:val="18"/>
                <w:szCs w:val="18"/>
              </w:rPr>
              <w:t xml:space="preserve">1 hour/credit/week for 15 weeks </w:t>
            </w:r>
          </w:p>
        </w:tc>
        <w:tc>
          <w:tcPr>
            <w:tcW w:w="3371" w:type="dxa"/>
            <w:gridSpan w:val="2"/>
          </w:tcPr>
          <w:p w14:paraId="187AFED1" w14:textId="77777777" w:rsidR="002A2D8E" w:rsidRPr="00245EEE" w:rsidRDefault="002A2D8E" w:rsidP="0009522A">
            <w:pPr>
              <w:pStyle w:val="Default"/>
              <w:rPr>
                <w:sz w:val="18"/>
                <w:szCs w:val="18"/>
              </w:rPr>
            </w:pPr>
            <w:r w:rsidRPr="00245EEE">
              <w:rPr>
                <w:sz w:val="18"/>
                <w:szCs w:val="18"/>
              </w:rPr>
              <w:t xml:space="preserve">2 hours/credit/week for 15 weeks </w:t>
            </w:r>
          </w:p>
        </w:tc>
      </w:tr>
      <w:tr w:rsidR="002A2D8E" w:rsidRPr="00245EEE" w14:paraId="6EDF7FE3" w14:textId="77777777" w:rsidTr="00AA7F14">
        <w:trPr>
          <w:trHeight w:val="109"/>
        </w:trPr>
        <w:tc>
          <w:tcPr>
            <w:tcW w:w="3046" w:type="dxa"/>
          </w:tcPr>
          <w:p w14:paraId="0BE994D8" w14:textId="77777777" w:rsidR="002A2D8E" w:rsidRPr="00245EEE" w:rsidRDefault="002A2D8E" w:rsidP="0009522A">
            <w:pPr>
              <w:pStyle w:val="Default"/>
              <w:rPr>
                <w:sz w:val="18"/>
                <w:szCs w:val="18"/>
              </w:rPr>
            </w:pPr>
            <w:r w:rsidRPr="00245EEE">
              <w:rPr>
                <w:sz w:val="18"/>
                <w:szCs w:val="18"/>
              </w:rPr>
              <w:t xml:space="preserve">Lab </w:t>
            </w:r>
          </w:p>
        </w:tc>
        <w:tc>
          <w:tcPr>
            <w:tcW w:w="3046" w:type="dxa"/>
          </w:tcPr>
          <w:p w14:paraId="1AFFC83C" w14:textId="77777777" w:rsidR="002A2D8E" w:rsidRPr="00245EEE" w:rsidRDefault="002A2D8E" w:rsidP="0009522A">
            <w:pPr>
              <w:pStyle w:val="Default"/>
              <w:rPr>
                <w:sz w:val="18"/>
                <w:szCs w:val="18"/>
              </w:rPr>
            </w:pPr>
            <w:r w:rsidRPr="00245EEE">
              <w:rPr>
                <w:sz w:val="18"/>
                <w:szCs w:val="18"/>
              </w:rPr>
              <w:t xml:space="preserve">2 hours/credit/week for 15 weeks </w:t>
            </w:r>
          </w:p>
        </w:tc>
        <w:tc>
          <w:tcPr>
            <w:tcW w:w="3371" w:type="dxa"/>
            <w:gridSpan w:val="2"/>
          </w:tcPr>
          <w:p w14:paraId="61B16E40" w14:textId="77777777" w:rsidR="002A2D8E" w:rsidRPr="00245EEE" w:rsidRDefault="002A2D8E" w:rsidP="0009522A">
            <w:pPr>
              <w:pStyle w:val="Default"/>
              <w:rPr>
                <w:sz w:val="18"/>
                <w:szCs w:val="18"/>
              </w:rPr>
            </w:pPr>
            <w:r w:rsidRPr="00245EEE">
              <w:rPr>
                <w:sz w:val="18"/>
                <w:szCs w:val="18"/>
              </w:rPr>
              <w:t xml:space="preserve">1 hours/credit/week for 15 weeks </w:t>
            </w:r>
          </w:p>
        </w:tc>
      </w:tr>
      <w:tr w:rsidR="002A2D8E" w:rsidRPr="00245EEE" w14:paraId="1DCE9A81" w14:textId="77777777" w:rsidTr="00AA7F14">
        <w:trPr>
          <w:trHeight w:val="109"/>
        </w:trPr>
        <w:tc>
          <w:tcPr>
            <w:tcW w:w="3046" w:type="dxa"/>
          </w:tcPr>
          <w:p w14:paraId="0F3A2439" w14:textId="77777777" w:rsidR="002A2D8E" w:rsidRPr="00245EEE" w:rsidRDefault="002A2D8E" w:rsidP="0009522A">
            <w:pPr>
              <w:pStyle w:val="Default"/>
              <w:rPr>
                <w:sz w:val="18"/>
                <w:szCs w:val="18"/>
              </w:rPr>
            </w:pPr>
            <w:r w:rsidRPr="00245EEE">
              <w:rPr>
                <w:sz w:val="18"/>
                <w:szCs w:val="18"/>
              </w:rPr>
              <w:t xml:space="preserve">Internships/Practicums </w:t>
            </w:r>
          </w:p>
        </w:tc>
        <w:tc>
          <w:tcPr>
            <w:tcW w:w="3046" w:type="dxa"/>
          </w:tcPr>
          <w:p w14:paraId="448C62D1" w14:textId="77777777" w:rsidR="002A2D8E" w:rsidRPr="00245EEE" w:rsidRDefault="002A2D8E" w:rsidP="0009522A">
            <w:pPr>
              <w:pStyle w:val="Default"/>
              <w:rPr>
                <w:sz w:val="18"/>
                <w:szCs w:val="18"/>
              </w:rPr>
            </w:pPr>
            <w:r w:rsidRPr="00245EEE">
              <w:rPr>
                <w:sz w:val="18"/>
                <w:szCs w:val="18"/>
              </w:rPr>
              <w:t xml:space="preserve">3 hours/credit/week for 15 weeks </w:t>
            </w:r>
          </w:p>
        </w:tc>
        <w:tc>
          <w:tcPr>
            <w:tcW w:w="3371" w:type="dxa"/>
            <w:gridSpan w:val="2"/>
          </w:tcPr>
          <w:p w14:paraId="58B7CA09" w14:textId="77777777" w:rsidR="002A2D8E" w:rsidRPr="00245EEE" w:rsidRDefault="002A2D8E" w:rsidP="0009522A">
            <w:pPr>
              <w:pStyle w:val="Default"/>
              <w:rPr>
                <w:sz w:val="18"/>
                <w:szCs w:val="18"/>
              </w:rPr>
            </w:pPr>
            <w:r w:rsidRPr="00245EEE">
              <w:rPr>
                <w:sz w:val="18"/>
                <w:szCs w:val="18"/>
              </w:rPr>
              <w:t xml:space="preserve">As required </w:t>
            </w:r>
          </w:p>
        </w:tc>
      </w:tr>
      <w:tr w:rsidR="002A2D8E" w:rsidRPr="00245EEE" w14:paraId="733E93BE" w14:textId="77777777" w:rsidTr="00AA7F14">
        <w:trPr>
          <w:trHeight w:val="109"/>
        </w:trPr>
        <w:tc>
          <w:tcPr>
            <w:tcW w:w="6133" w:type="dxa"/>
            <w:gridSpan w:val="3"/>
          </w:tcPr>
          <w:p w14:paraId="1A0A1B89" w14:textId="77777777" w:rsidR="002A2D8E" w:rsidRPr="00245EEE" w:rsidRDefault="002A2D8E" w:rsidP="0009522A">
            <w:pPr>
              <w:pStyle w:val="Default"/>
              <w:rPr>
                <w:sz w:val="18"/>
                <w:szCs w:val="18"/>
              </w:rPr>
            </w:pPr>
            <w:r w:rsidRPr="00245EEE">
              <w:rPr>
                <w:sz w:val="18"/>
                <w:szCs w:val="18"/>
              </w:rPr>
              <w:t xml:space="preserve">Online </w:t>
            </w:r>
          </w:p>
        </w:tc>
        <w:tc>
          <w:tcPr>
            <w:tcW w:w="3330" w:type="dxa"/>
          </w:tcPr>
          <w:p w14:paraId="10CF13FD" w14:textId="77777777" w:rsidR="002A2D8E" w:rsidRPr="00245EEE" w:rsidRDefault="002A2D8E" w:rsidP="0009522A">
            <w:pPr>
              <w:pStyle w:val="Default"/>
              <w:rPr>
                <w:sz w:val="18"/>
                <w:szCs w:val="18"/>
              </w:rPr>
            </w:pPr>
            <w:r w:rsidRPr="00245EEE">
              <w:rPr>
                <w:sz w:val="18"/>
                <w:szCs w:val="18"/>
              </w:rPr>
              <w:t xml:space="preserve">3 hours/credit/week for 15 weeks </w:t>
            </w:r>
          </w:p>
        </w:tc>
      </w:tr>
    </w:tbl>
    <w:p w14:paraId="42B6E120" w14:textId="77777777" w:rsidR="00AA7F14" w:rsidRPr="00245EEE" w:rsidRDefault="00AA7F14" w:rsidP="002A2D8E">
      <w:pPr>
        <w:rPr>
          <w:sz w:val="18"/>
          <w:szCs w:val="18"/>
        </w:rPr>
      </w:pPr>
      <w:r w:rsidRPr="00245EEE">
        <w:rPr>
          <w:sz w:val="18"/>
          <w:szCs w:val="18"/>
        </w:rPr>
        <w:t xml:space="preserve">Hybrid courses and courses offered in condensed formats need to make </w:t>
      </w:r>
      <w:r w:rsidR="00283518" w:rsidRPr="00245EEE">
        <w:rPr>
          <w:sz w:val="18"/>
          <w:szCs w:val="18"/>
        </w:rPr>
        <w:t>appropriate</w:t>
      </w:r>
      <w:r w:rsidRPr="00245EEE">
        <w:rPr>
          <w:sz w:val="18"/>
          <w:szCs w:val="18"/>
        </w:rPr>
        <w:t xml:space="preserve"> adjustments.  See Minnesota State Polic</w:t>
      </w:r>
      <w:r w:rsidR="00283518" w:rsidRPr="00245EEE">
        <w:rPr>
          <w:sz w:val="18"/>
          <w:szCs w:val="18"/>
        </w:rPr>
        <w:t>ies</w:t>
      </w:r>
      <w:r w:rsidRPr="00245EEE">
        <w:rPr>
          <w:sz w:val="18"/>
          <w:szCs w:val="18"/>
        </w:rPr>
        <w:t>/Procedure 3.36/3.36.1</w:t>
      </w:r>
    </w:p>
    <w:p w14:paraId="7CE76143" w14:textId="77777777" w:rsidR="00245EEE" w:rsidRDefault="00245EEE" w:rsidP="00245EEE">
      <w:pPr>
        <w:rPr>
          <w:b/>
          <w:u w:val="single"/>
        </w:rPr>
      </w:pPr>
    </w:p>
    <w:p w14:paraId="538B42F8" w14:textId="77777777" w:rsidR="00A269F9" w:rsidRPr="00A269F9" w:rsidRDefault="00A269F9" w:rsidP="00A269F9">
      <w:pPr>
        <w:rPr>
          <w:b/>
          <w:sz w:val="22"/>
        </w:rPr>
      </w:pPr>
      <w:r w:rsidRPr="00A269F9">
        <w:rPr>
          <w:b/>
          <w:sz w:val="22"/>
        </w:rPr>
        <w:t xml:space="preserve">Academic Integrity: </w:t>
      </w:r>
    </w:p>
    <w:p w14:paraId="20951935" w14:textId="77777777" w:rsidR="00A269F9" w:rsidRPr="00A269F9" w:rsidRDefault="00A269F9" w:rsidP="00A269F9">
      <w:pPr>
        <w:rPr>
          <w:sz w:val="18"/>
          <w:szCs w:val="18"/>
        </w:rPr>
      </w:pPr>
      <w:r w:rsidRPr="00A269F9">
        <w:rPr>
          <w:sz w:val="18"/>
          <w:szCs w:val="18"/>
        </w:rPr>
        <w:t xml:space="preserve">[Include BSU’s academic integrity statement as </w:t>
      </w:r>
      <w:r>
        <w:rPr>
          <w:sz w:val="18"/>
          <w:szCs w:val="18"/>
        </w:rPr>
        <w:t>found</w:t>
      </w:r>
      <w:r w:rsidRPr="00A269F9">
        <w:rPr>
          <w:sz w:val="18"/>
          <w:szCs w:val="18"/>
        </w:rPr>
        <w:t xml:space="preserve"> below.]</w:t>
      </w:r>
    </w:p>
    <w:p w14:paraId="12F4DC6D" w14:textId="2F5CCD1E" w:rsidR="00A269F9" w:rsidRDefault="00A269F9" w:rsidP="00A269F9">
      <w:pPr>
        <w:rPr>
          <w:sz w:val="18"/>
          <w:szCs w:val="18"/>
        </w:rPr>
      </w:pPr>
      <w:r w:rsidRPr="00A269F9">
        <w:rPr>
          <w:sz w:val="18"/>
          <w:szCs w:val="18"/>
        </w:rPr>
        <w:t xml:space="preserve">BSU students are expected to practice the highest standards of ethics, honesty and integrity in all of their academic work. Any form of academic dishonesty (e.g., plagiarism, cheating and misrepresentation) may result in disciplinary action. Possible disciplinary actions may include failure for part or an entire course as well as suspension from the University.  It is suggested that </w:t>
      </w:r>
      <w:r>
        <w:rPr>
          <w:sz w:val="18"/>
          <w:szCs w:val="18"/>
        </w:rPr>
        <w:t>students</w:t>
      </w:r>
      <w:r w:rsidRPr="00A269F9">
        <w:rPr>
          <w:sz w:val="18"/>
          <w:szCs w:val="18"/>
        </w:rPr>
        <w:t xml:space="preserve"> review BSU’s statement on academic integrity found within the Student Code of Conduct.</w:t>
      </w:r>
    </w:p>
    <w:p w14:paraId="1635BEB5" w14:textId="26E1F22F" w:rsidR="002D6616" w:rsidRDefault="002D6616" w:rsidP="00A269F9">
      <w:pPr>
        <w:rPr>
          <w:sz w:val="18"/>
          <w:szCs w:val="18"/>
        </w:rPr>
      </w:pPr>
    </w:p>
    <w:p w14:paraId="2431E547" w14:textId="706423A3" w:rsidR="002D6616" w:rsidRPr="002D6616" w:rsidRDefault="002D6616" w:rsidP="002D6616">
      <w:pPr>
        <w:rPr>
          <w:b/>
        </w:rPr>
      </w:pPr>
      <w:r w:rsidRPr="000B5C70">
        <w:rPr>
          <w:b/>
        </w:rPr>
        <w:t>Disruptive Behavior in the Classroom</w:t>
      </w:r>
      <w:r>
        <w:rPr>
          <w:b/>
        </w:rPr>
        <w:t>:</w:t>
      </w:r>
      <w:r w:rsidRPr="000B5C70">
        <w:rPr>
          <w:b/>
        </w:rPr>
        <w:t xml:space="preserve"> </w:t>
      </w:r>
      <w:r>
        <w:rPr>
          <w:b/>
        </w:rPr>
        <w:t xml:space="preserve"> </w:t>
      </w:r>
    </w:p>
    <w:p w14:paraId="29358ABE" w14:textId="77777777" w:rsidR="002D6616" w:rsidRPr="002D6616" w:rsidRDefault="002D6616" w:rsidP="002D6616">
      <w:pPr>
        <w:rPr>
          <w:sz w:val="18"/>
        </w:rPr>
      </w:pPr>
      <w:r w:rsidRPr="002D6616">
        <w:rPr>
          <w:sz w:val="18"/>
        </w:rPr>
        <w:t xml:space="preserve">We at Bemidji State University believe the classroom is an environment where civility, human dignity and respect is maintained. Any variation from this for example yelling or saying profanity at an instructor or another person in the classroom, or any other loud, lewd, belligerent or obnoxious behavior resulting in a disruption from teaching, and learning are violations of the Code of Conduct and will not be tolerated. If this occurs, you will be asked to leave the classroom not to return until you meet with the University Conduct Officer and you could be subject to a judicial hearing. </w:t>
      </w:r>
    </w:p>
    <w:p w14:paraId="24B9710C" w14:textId="79328D0F" w:rsidR="002D6616" w:rsidRDefault="002D6616" w:rsidP="00A269F9">
      <w:pPr>
        <w:rPr>
          <w:sz w:val="18"/>
          <w:szCs w:val="18"/>
        </w:rPr>
      </w:pPr>
    </w:p>
    <w:p w14:paraId="5CFC5CA5" w14:textId="4CB81548" w:rsidR="002D6616" w:rsidRPr="002D6616" w:rsidRDefault="002D6616" w:rsidP="002D6616">
      <w:pPr>
        <w:rPr>
          <w:b/>
          <w:sz w:val="22"/>
        </w:rPr>
      </w:pPr>
      <w:r w:rsidRPr="002D6616">
        <w:rPr>
          <w:b/>
          <w:sz w:val="22"/>
        </w:rPr>
        <w:t>Extended Leave Procedure</w:t>
      </w:r>
      <w:r>
        <w:rPr>
          <w:b/>
          <w:sz w:val="22"/>
        </w:rPr>
        <w:t>:</w:t>
      </w:r>
      <w:r w:rsidRPr="002D6616">
        <w:rPr>
          <w:b/>
          <w:sz w:val="22"/>
        </w:rPr>
        <w:t xml:space="preserve"> </w:t>
      </w:r>
    </w:p>
    <w:p w14:paraId="587AFC42" w14:textId="77777777" w:rsidR="002D6616" w:rsidRPr="002D6616" w:rsidRDefault="002D6616" w:rsidP="002D6616">
      <w:pPr>
        <w:rPr>
          <w:sz w:val="18"/>
          <w:szCs w:val="18"/>
        </w:rPr>
      </w:pPr>
      <w:r w:rsidRPr="002D6616">
        <w:rPr>
          <w:sz w:val="18"/>
          <w:szCs w:val="18"/>
        </w:rPr>
        <w:t xml:space="preserve">If student </w:t>
      </w:r>
      <w:proofErr w:type="gramStart"/>
      <w:r w:rsidRPr="002D6616">
        <w:rPr>
          <w:sz w:val="18"/>
          <w:szCs w:val="18"/>
        </w:rPr>
        <w:t>has to</w:t>
      </w:r>
      <w:proofErr w:type="gramEnd"/>
      <w:r w:rsidRPr="002D6616">
        <w:rPr>
          <w:sz w:val="18"/>
          <w:szCs w:val="18"/>
        </w:rPr>
        <w:t xml:space="preserve"> be away from class from an extended period of time (more than two class sessions) for medical emergencies or a funeral, you are asked to contact the Student Life and Success Office where a leave notice will be given to your faculty. This notice informs the faculty of your departure and return date back to campus. This leave does not absolve you from any assignment you have due during your leave. You are to </w:t>
      </w:r>
      <w:proofErr w:type="gramStart"/>
      <w:r w:rsidRPr="002D6616">
        <w:rPr>
          <w:sz w:val="18"/>
          <w:szCs w:val="18"/>
        </w:rPr>
        <w:t>make arrangements</w:t>
      </w:r>
      <w:proofErr w:type="gramEnd"/>
      <w:r w:rsidRPr="002D6616">
        <w:rPr>
          <w:sz w:val="18"/>
          <w:szCs w:val="18"/>
        </w:rPr>
        <w:t xml:space="preserve"> with your instructors of when to complete any assignments due during the leave period. You can complete a leave form as this website </w:t>
      </w:r>
      <w:hyperlink r:id="rId5" w:history="1">
        <w:r w:rsidRPr="002D6616">
          <w:rPr>
            <w:rStyle w:val="Hyperlink"/>
            <w:sz w:val="18"/>
            <w:szCs w:val="18"/>
          </w:rPr>
          <w:t>https://www.bemidjistate.edu/offices/student-life-success/extended-absence/</w:t>
        </w:r>
      </w:hyperlink>
    </w:p>
    <w:p w14:paraId="56B8F0BA" w14:textId="77777777" w:rsidR="00A269F9" w:rsidRDefault="00A269F9" w:rsidP="00245EEE">
      <w:pPr>
        <w:rPr>
          <w:b/>
          <w:u w:val="single"/>
        </w:rPr>
      </w:pPr>
    </w:p>
    <w:p w14:paraId="0FF7F314" w14:textId="77777777" w:rsidR="00245EEE" w:rsidRPr="00245EEE" w:rsidRDefault="00245EEE" w:rsidP="00245EEE">
      <w:pPr>
        <w:rPr>
          <w:b/>
          <w:sz w:val="22"/>
        </w:rPr>
      </w:pPr>
      <w:r w:rsidRPr="00245EEE">
        <w:rPr>
          <w:b/>
          <w:sz w:val="22"/>
        </w:rPr>
        <w:t xml:space="preserve">Students with Special Needs: </w:t>
      </w:r>
    </w:p>
    <w:p w14:paraId="36350222" w14:textId="77777777" w:rsidR="00245EEE" w:rsidRPr="00245EEE" w:rsidRDefault="00245EEE" w:rsidP="00245EEE">
      <w:pPr>
        <w:rPr>
          <w:sz w:val="18"/>
          <w:szCs w:val="18"/>
        </w:rPr>
      </w:pPr>
      <w:r w:rsidRPr="00245EEE">
        <w:rPr>
          <w:sz w:val="18"/>
          <w:szCs w:val="18"/>
        </w:rPr>
        <w:t xml:space="preserve">[Include a statement on student accommodations and accessibility.  The appropriate contact information is included below.] </w:t>
      </w:r>
    </w:p>
    <w:p w14:paraId="213C22CA" w14:textId="77777777" w:rsidR="00FC246E" w:rsidRPr="00FC246E" w:rsidRDefault="00FC246E" w:rsidP="00FC246E">
      <w:pPr>
        <w:rPr>
          <w:bCs/>
          <w:sz w:val="18"/>
          <w:szCs w:val="18"/>
        </w:rPr>
      </w:pPr>
      <w:r w:rsidRPr="00FC246E">
        <w:rPr>
          <w:bCs/>
          <w:sz w:val="18"/>
          <w:szCs w:val="18"/>
        </w:rPr>
        <w:t xml:space="preserve">BSU is committed to making all educational programs, course materials, services and activities sponsored by the University accessible to individuals with disabilities. Students requesting accommodations due to a disability or other need for access should contact Accessibility Services as soon as possible.  Accessibility Services is located at Decker Hall 202.  PH: 218.755.3883 or email: </w:t>
      </w:r>
      <w:hyperlink r:id="rId6" w:history="1">
        <w:r w:rsidRPr="00FC246E">
          <w:rPr>
            <w:rStyle w:val="Hyperlink"/>
            <w:bCs/>
            <w:sz w:val="18"/>
            <w:szCs w:val="18"/>
          </w:rPr>
          <w:t>accessibility@bemidjistate.edu</w:t>
        </w:r>
      </w:hyperlink>
      <w:r w:rsidRPr="00FC246E">
        <w:rPr>
          <w:bCs/>
          <w:sz w:val="18"/>
          <w:szCs w:val="18"/>
        </w:rPr>
        <w:t xml:space="preserve">.  This information is also available through Minnesota Relay Services at 800.627.3529.  </w:t>
      </w:r>
    </w:p>
    <w:p w14:paraId="3D74E067" w14:textId="47D1AC1B" w:rsidR="00EE4E62" w:rsidRDefault="00EE4E62" w:rsidP="00245EEE">
      <w:pPr>
        <w:rPr>
          <w:sz w:val="18"/>
          <w:szCs w:val="18"/>
        </w:rPr>
      </w:pPr>
    </w:p>
    <w:p w14:paraId="7419E389" w14:textId="6490FFA7" w:rsidR="00EE4E62" w:rsidRPr="00EE4E62" w:rsidRDefault="00E03FE0" w:rsidP="00EE4E62">
      <w:pPr>
        <w:rPr>
          <w:b/>
          <w:color w:val="000000"/>
          <w:sz w:val="22"/>
        </w:rPr>
      </w:pPr>
      <w:r>
        <w:rPr>
          <w:b/>
          <w:color w:val="000000"/>
          <w:sz w:val="22"/>
        </w:rPr>
        <w:t>Tutoring availability</w:t>
      </w:r>
      <w:r w:rsidR="00EE4E62" w:rsidRPr="00EE4E62">
        <w:rPr>
          <w:b/>
          <w:color w:val="000000"/>
          <w:sz w:val="22"/>
        </w:rPr>
        <w:t>:</w:t>
      </w:r>
    </w:p>
    <w:p w14:paraId="5B5D86F7" w14:textId="0598E997" w:rsidR="00FC246E" w:rsidRDefault="00FC246E" w:rsidP="00EE4E62">
      <w:pPr>
        <w:rPr>
          <w:color w:val="000000"/>
          <w:sz w:val="18"/>
          <w:szCs w:val="18"/>
        </w:rPr>
      </w:pPr>
      <w:r>
        <w:rPr>
          <w:color w:val="000000"/>
          <w:sz w:val="18"/>
          <w:szCs w:val="18"/>
        </w:rPr>
        <w:t xml:space="preserve">[Consider including a statement on tutoring availability </w:t>
      </w:r>
      <w:r w:rsidR="00E03FE0">
        <w:rPr>
          <w:color w:val="000000"/>
          <w:sz w:val="18"/>
          <w:szCs w:val="18"/>
        </w:rPr>
        <w:t xml:space="preserve">at BSU and </w:t>
      </w:r>
      <w:r>
        <w:rPr>
          <w:color w:val="000000"/>
          <w:sz w:val="18"/>
          <w:szCs w:val="18"/>
        </w:rPr>
        <w:t>information on Tutor.com]</w:t>
      </w:r>
    </w:p>
    <w:p w14:paraId="5645F4D6" w14:textId="548F805C" w:rsidR="00E03FE0" w:rsidRDefault="00E03FE0" w:rsidP="00EE4E62">
      <w:pPr>
        <w:rPr>
          <w:color w:val="000000"/>
          <w:sz w:val="18"/>
          <w:szCs w:val="18"/>
        </w:rPr>
      </w:pPr>
      <w:bookmarkStart w:id="1" w:name="_Hlk534277935"/>
      <w:r>
        <w:rPr>
          <w:color w:val="000000"/>
          <w:sz w:val="18"/>
          <w:szCs w:val="18"/>
        </w:rPr>
        <w:t xml:space="preserve">BSU is committed to assisting our students in their academic endeavors and has in place the Advising Success Center as a valuable resource: </w:t>
      </w:r>
      <w:hyperlink r:id="rId7" w:history="1">
        <w:r w:rsidRPr="001A61F2">
          <w:rPr>
            <w:rStyle w:val="Hyperlink"/>
            <w:sz w:val="18"/>
            <w:szCs w:val="18"/>
          </w:rPr>
          <w:t>https://www.bemidjistate.edu/services/advising-success-center/services/tutoring/</w:t>
        </w:r>
      </w:hyperlink>
    </w:p>
    <w:bookmarkEnd w:id="1"/>
    <w:p w14:paraId="203B0199" w14:textId="3B6CE36C" w:rsidR="00EE4E62" w:rsidRPr="00EE4E62" w:rsidRDefault="00EE4E62" w:rsidP="00EE4E62">
      <w:pPr>
        <w:rPr>
          <w:color w:val="000000"/>
          <w:sz w:val="18"/>
          <w:szCs w:val="18"/>
        </w:rPr>
      </w:pPr>
      <w:r w:rsidRPr="00EE4E62">
        <w:rPr>
          <w:color w:val="000000"/>
          <w:sz w:val="18"/>
          <w:szCs w:val="18"/>
        </w:rPr>
        <w:t>The Minnesota State system has updated the online tutoring service available to our students.  We are now partnering with Tutor.com to offer 24/7 online tutoring, which will connect students with an expert tutor for extra assistance one-on-one. Online tutoring services can be accessed through the main page in D2L and your course page, by clicking on the tutor.com link, located in the “</w:t>
      </w:r>
      <w:proofErr w:type="spellStart"/>
      <w:r w:rsidRPr="00EE4E62">
        <w:rPr>
          <w:color w:val="000000"/>
          <w:sz w:val="18"/>
          <w:szCs w:val="18"/>
        </w:rPr>
        <w:t>HelpLinks</w:t>
      </w:r>
      <w:proofErr w:type="spellEnd"/>
      <w:r w:rsidRPr="00EE4E62">
        <w:rPr>
          <w:color w:val="000000"/>
          <w:sz w:val="18"/>
          <w:szCs w:val="18"/>
        </w:rPr>
        <w:t xml:space="preserve">” menu. </w:t>
      </w:r>
    </w:p>
    <w:p w14:paraId="4B5E3CCF" w14:textId="4F4AB94E" w:rsidR="00245EEE" w:rsidRPr="00EE4E62" w:rsidRDefault="00EE4E62" w:rsidP="00EE4E62">
      <w:pPr>
        <w:spacing w:after="195"/>
        <w:rPr>
          <w:color w:val="000000"/>
          <w:sz w:val="18"/>
          <w:szCs w:val="18"/>
        </w:rPr>
      </w:pPr>
      <w:r w:rsidRPr="00EE4E62">
        <w:rPr>
          <w:b/>
          <w:color w:val="000000"/>
          <w:sz w:val="18"/>
          <w:szCs w:val="18"/>
          <w:u w:val="single"/>
        </w:rPr>
        <w:t>All students will receive 15 hours of tutoring at no cost.</w:t>
      </w:r>
      <w:r w:rsidRPr="00EE4E62">
        <w:rPr>
          <w:color w:val="000000"/>
          <w:sz w:val="18"/>
          <w:szCs w:val="18"/>
        </w:rPr>
        <w:t xml:space="preserve">  Tutoring services cover a variety of subject areas including math, writing, accounting, economics, biology, languages and nursing.  Additional time may be purchased by students directly through tutor.com. </w:t>
      </w:r>
    </w:p>
    <w:p w14:paraId="794FA305" w14:textId="77777777" w:rsidR="00245EEE" w:rsidRPr="00A269F9" w:rsidRDefault="00245EEE" w:rsidP="00245EEE">
      <w:pPr>
        <w:rPr>
          <w:sz w:val="22"/>
        </w:rPr>
      </w:pPr>
      <w:r w:rsidRPr="00A269F9">
        <w:rPr>
          <w:b/>
          <w:sz w:val="22"/>
        </w:rPr>
        <w:t xml:space="preserve">Mental Health and Counseling: </w:t>
      </w:r>
    </w:p>
    <w:p w14:paraId="7F2DDE24" w14:textId="77777777" w:rsidR="00245EEE" w:rsidRPr="00A269F9" w:rsidRDefault="00245EEE" w:rsidP="00245EEE">
      <w:pPr>
        <w:rPr>
          <w:sz w:val="18"/>
          <w:szCs w:val="18"/>
        </w:rPr>
      </w:pPr>
      <w:r w:rsidRPr="00A269F9">
        <w:rPr>
          <w:sz w:val="18"/>
          <w:szCs w:val="18"/>
        </w:rPr>
        <w:t>[Consider including a statement o</w:t>
      </w:r>
      <w:r w:rsidR="00A269F9" w:rsidRPr="00A269F9">
        <w:rPr>
          <w:sz w:val="18"/>
          <w:szCs w:val="18"/>
        </w:rPr>
        <w:t>n availability of mental health and counseling services available to students.  The appropriate contact information is included below.]</w:t>
      </w:r>
    </w:p>
    <w:p w14:paraId="1DAFF780" w14:textId="77777777" w:rsidR="00245EEE" w:rsidRPr="00A269F9" w:rsidRDefault="00245EEE" w:rsidP="00245EEE">
      <w:pPr>
        <w:rPr>
          <w:sz w:val="18"/>
          <w:szCs w:val="18"/>
        </w:rPr>
      </w:pPr>
      <w:r w:rsidRPr="00A269F9">
        <w:rPr>
          <w:sz w:val="18"/>
          <w:szCs w:val="18"/>
        </w:rPr>
        <w:t xml:space="preserve">Students may experience mental health concerns or stressful events that may lead to diminished academic performance. The Student Center for Health &amp; Counseling is available to assist you with concerns and can include stress relief services. They can be reached in Cedar Hall, First Floor. Phone: (218) 755-2053.  </w:t>
      </w:r>
    </w:p>
    <w:p w14:paraId="02B6BD0D" w14:textId="77777777" w:rsidR="002A2D8E" w:rsidRDefault="002A2D8E"/>
    <w:p w14:paraId="377F3D24" w14:textId="77777777" w:rsidR="00A269F9" w:rsidRPr="00A269F9" w:rsidRDefault="00A269F9">
      <w:pPr>
        <w:rPr>
          <w:b/>
        </w:rPr>
      </w:pPr>
      <w:r w:rsidRPr="00A269F9">
        <w:rPr>
          <w:b/>
        </w:rPr>
        <w:t>Accessibility statement:</w:t>
      </w:r>
    </w:p>
    <w:p w14:paraId="2759685F" w14:textId="77777777" w:rsidR="00A269F9" w:rsidRPr="00A269F9" w:rsidRDefault="00A269F9">
      <w:pPr>
        <w:rPr>
          <w:sz w:val="18"/>
          <w:szCs w:val="18"/>
        </w:rPr>
      </w:pPr>
      <w:r w:rsidRPr="00A269F9">
        <w:rPr>
          <w:sz w:val="18"/>
          <w:szCs w:val="18"/>
        </w:rPr>
        <w:t>[Include the statement below.]</w:t>
      </w:r>
    </w:p>
    <w:p w14:paraId="2C05CA46" w14:textId="219E5F6C" w:rsidR="00A269F9" w:rsidRPr="00A269F9" w:rsidRDefault="00A269F9" w:rsidP="00A269F9">
      <w:pPr>
        <w:rPr>
          <w:sz w:val="18"/>
          <w:szCs w:val="18"/>
        </w:rPr>
      </w:pPr>
      <w:r w:rsidRPr="00A269F9">
        <w:rPr>
          <w:sz w:val="18"/>
          <w:szCs w:val="18"/>
        </w:rPr>
        <w:t xml:space="preserve">Upon request this document can be made available in alternate formats.  Please contact </w:t>
      </w:r>
      <w:r w:rsidR="002D6616">
        <w:rPr>
          <w:sz w:val="18"/>
          <w:szCs w:val="18"/>
        </w:rPr>
        <w:t xml:space="preserve">Accessibility Services at </w:t>
      </w:r>
      <w:r w:rsidRPr="00A269F9">
        <w:rPr>
          <w:sz w:val="18"/>
          <w:szCs w:val="18"/>
        </w:rPr>
        <w:t>755-3883.</w:t>
      </w:r>
    </w:p>
    <w:p w14:paraId="752D9706" w14:textId="77777777" w:rsidR="00A269F9" w:rsidRDefault="00A269F9"/>
    <w:sectPr w:rsidR="00A269F9" w:rsidSect="00245E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3DB535"/>
    <w:multiLevelType w:val="hybridMultilevel"/>
    <w:tmpl w:val="344252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AF35BD"/>
    <w:multiLevelType w:val="hybridMultilevel"/>
    <w:tmpl w:val="F143B8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4D2A260"/>
    <w:multiLevelType w:val="hybridMultilevel"/>
    <w:tmpl w:val="85E78E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58C"/>
    <w:rsid w:val="00245EEE"/>
    <w:rsid w:val="002772EA"/>
    <w:rsid w:val="00283518"/>
    <w:rsid w:val="002A2D8E"/>
    <w:rsid w:val="002D6616"/>
    <w:rsid w:val="003A6C75"/>
    <w:rsid w:val="003E6698"/>
    <w:rsid w:val="005C3777"/>
    <w:rsid w:val="00607D19"/>
    <w:rsid w:val="0083658C"/>
    <w:rsid w:val="00A269F9"/>
    <w:rsid w:val="00AA7F14"/>
    <w:rsid w:val="00C77E5D"/>
    <w:rsid w:val="00D73A87"/>
    <w:rsid w:val="00E03FE0"/>
    <w:rsid w:val="00EA258A"/>
    <w:rsid w:val="00EE4E62"/>
    <w:rsid w:val="00FC2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ED17"/>
  <w15:chartTrackingRefBased/>
  <w15:docId w15:val="{361FE627-0342-4BD6-A776-358DA0FC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D8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658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A6C75"/>
    <w:rPr>
      <w:color w:val="0563C1" w:themeColor="hyperlink"/>
      <w:u w:val="single"/>
    </w:rPr>
  </w:style>
  <w:style w:type="character" w:styleId="FollowedHyperlink">
    <w:name w:val="FollowedHyperlink"/>
    <w:basedOn w:val="DefaultParagraphFont"/>
    <w:uiPriority w:val="99"/>
    <w:semiHidden/>
    <w:unhideWhenUsed/>
    <w:rsid w:val="003A6C75"/>
    <w:rPr>
      <w:color w:val="954F72" w:themeColor="followedHyperlink"/>
      <w:u w:val="single"/>
    </w:rPr>
  </w:style>
  <w:style w:type="character" w:styleId="UnresolvedMention">
    <w:name w:val="Unresolved Mention"/>
    <w:basedOn w:val="DefaultParagraphFont"/>
    <w:uiPriority w:val="99"/>
    <w:semiHidden/>
    <w:unhideWhenUsed/>
    <w:rsid w:val="002D6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s://www.bemidjistate.edu/offices/student-life-success/extended-absence/" TargetMode="External" Type="http://schemas.openxmlformats.org/officeDocument/2006/relationships/hyperlink"/><Relationship Id="rId6" Target="mailto:accessibility@bemidjistate.edu" TargetMode="External" Type="http://schemas.openxmlformats.org/officeDocument/2006/relationships/hyperlink"/><Relationship Id="rId7" Target="https://www.bemidjistate.edu/services/advising-success-center/services/tutoring/"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1073</Words>
  <Characters>5817</Characters>
  <DocSecurity>4</DocSecurity>
  <Lines>187</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6753</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