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5271"/>
        <w:gridCol w:w="5272"/>
      </w:tblGrid>
      <w:tr w:rsidR="00751FBC" w:rsidRPr="00751FBC" w:rsidTr="006E2F6B">
        <w:tc>
          <w:tcPr>
            <w:tcW w:w="11016" w:type="dxa"/>
            <w:gridSpan w:val="3"/>
          </w:tcPr>
          <w:p w:rsidR="00751FBC" w:rsidRPr="00116857" w:rsidRDefault="00751FBC" w:rsidP="00751FBC">
            <w:pPr>
              <w:jc w:val="center"/>
              <w:rPr>
                <w:rFonts w:ascii="Goudy Stout" w:hAnsi="Goudy Stout"/>
                <w:b/>
                <w:sz w:val="24"/>
                <w:szCs w:val="24"/>
              </w:rPr>
            </w:pPr>
            <w:bookmarkStart w:id="0" w:name="_GoBack"/>
            <w:bookmarkEnd w:id="0"/>
            <w:r w:rsidRPr="00116857">
              <w:rPr>
                <w:rFonts w:ascii="Goudy Stout" w:hAnsi="Goudy Stout"/>
                <w:b/>
                <w:sz w:val="24"/>
                <w:szCs w:val="24"/>
              </w:rPr>
              <w:t>Curricular Connections</w:t>
            </w:r>
          </w:p>
        </w:tc>
      </w:tr>
      <w:tr w:rsidR="00D63D47" w:rsidRPr="00751FBC" w:rsidTr="00D63D47">
        <w:trPr>
          <w:cantSplit/>
          <w:trHeight w:val="269"/>
        </w:trPr>
        <w:tc>
          <w:tcPr>
            <w:tcW w:w="473" w:type="dxa"/>
            <w:vMerge w:val="restart"/>
            <w:shd w:val="clear" w:color="auto" w:fill="BFBFBF" w:themeFill="background1" w:themeFillShade="BF"/>
            <w:textDirection w:val="btLr"/>
          </w:tcPr>
          <w:p w:rsidR="00D63D47" w:rsidRPr="006401BC" w:rsidRDefault="00F664A7" w:rsidP="00F664A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</w:t>
            </w:r>
          </w:p>
        </w:tc>
        <w:tc>
          <w:tcPr>
            <w:tcW w:w="10543" w:type="dxa"/>
            <w:gridSpan w:val="2"/>
            <w:tcBorders>
              <w:bottom w:val="nil"/>
            </w:tcBorders>
          </w:tcPr>
          <w:p w:rsidR="00D63D47" w:rsidRPr="00D63D47" w:rsidRDefault="00D63D47" w:rsidP="00D63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E05FDA" wp14:editId="18CA1766">
                      <wp:simplePos x="0" y="0"/>
                      <wp:positionH relativeFrom="column">
                        <wp:posOffset>2080743</wp:posOffset>
                      </wp:positionH>
                      <wp:positionV relativeFrom="paragraph">
                        <wp:posOffset>96393</wp:posOffset>
                      </wp:positionV>
                      <wp:extent cx="2091944" cy="0"/>
                      <wp:effectExtent l="0" t="76200" r="22860" b="1143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194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63.85pt;margin-top:7.6pt;width:164.7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" strokecolor="black [3040]">
                      <v:stroke endarrow="open"/>
                    </v:shape>
                  </w:pict>
                </mc:Fallback>
              </mc:AlternateContent>
            </w:r>
            <w:r w:rsidR="00F664A7">
              <w:rPr>
                <w:b/>
                <w:sz w:val="24"/>
                <w:szCs w:val="24"/>
              </w:rPr>
              <w:t xml:space="preserve">        </w:t>
            </w:r>
            <w:r w:rsidRPr="0002632F">
              <w:rPr>
                <w:b/>
                <w:sz w:val="24"/>
                <w:szCs w:val="24"/>
              </w:rPr>
              <w:t>Big Ideas</w:t>
            </w:r>
            <w:r>
              <w:rPr>
                <w:b/>
                <w:sz w:val="24"/>
                <w:szCs w:val="24"/>
              </w:rPr>
              <w:t xml:space="preserve">                                             </w:t>
            </w:r>
            <w:r w:rsidR="00F664A7">
              <w:rPr>
                <w:b/>
                <w:sz w:val="24"/>
                <w:szCs w:val="24"/>
              </w:rPr>
              <w:t xml:space="preserve">                          </w:t>
            </w:r>
            <w:r w:rsidRPr="009A54A7">
              <w:rPr>
                <w:b/>
                <w:sz w:val="24"/>
                <w:szCs w:val="24"/>
              </w:rPr>
              <w:t>Essential Questions</w:t>
            </w:r>
            <w:r w:rsidR="00F664A7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D63D47" w:rsidRPr="00751FBC" w:rsidTr="00D63D47">
        <w:trPr>
          <w:cantSplit/>
          <w:trHeight w:val="553"/>
        </w:trPr>
        <w:tc>
          <w:tcPr>
            <w:tcW w:w="473" w:type="dxa"/>
            <w:vMerge/>
            <w:shd w:val="clear" w:color="auto" w:fill="BFBFBF" w:themeFill="background1" w:themeFillShade="BF"/>
            <w:textDirection w:val="btLr"/>
          </w:tcPr>
          <w:p w:rsidR="00D63D47" w:rsidRDefault="00D63D47" w:rsidP="00751F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1" w:type="dxa"/>
            <w:tcBorders>
              <w:top w:val="single" w:sz="4" w:space="0" w:color="auto"/>
              <w:right w:val="single" w:sz="4" w:space="0" w:color="auto"/>
            </w:tcBorders>
          </w:tcPr>
          <w:p w:rsidR="00D63D47" w:rsidRPr="00116857" w:rsidRDefault="00D63D47" w:rsidP="00D63D47">
            <w:pPr>
              <w:rPr>
                <w:sz w:val="14"/>
                <w:szCs w:val="14"/>
              </w:rPr>
            </w:pPr>
            <w:r w:rsidRPr="00116857">
              <w:rPr>
                <w:sz w:val="14"/>
                <w:szCs w:val="14"/>
              </w:rPr>
              <w:t xml:space="preserve">What </w:t>
            </w:r>
            <w:r>
              <w:rPr>
                <w:sz w:val="14"/>
                <w:szCs w:val="14"/>
              </w:rPr>
              <w:t>will students</w:t>
            </w:r>
            <w:r w:rsidRPr="00116857">
              <w:rPr>
                <w:sz w:val="14"/>
                <w:szCs w:val="14"/>
              </w:rPr>
              <w:t xml:space="preserve"> remember long after the unit is over?</w:t>
            </w:r>
            <w:r>
              <w:rPr>
                <w:sz w:val="14"/>
                <w:szCs w:val="14"/>
              </w:rPr>
              <w:t xml:space="preserve"> (enduring understandings)</w:t>
            </w:r>
          </w:p>
          <w:p w:rsidR="00D63D47" w:rsidRPr="0020206E" w:rsidRDefault="00D63D47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:rsidR="00F664A7" w:rsidRPr="0020206E" w:rsidRDefault="00F664A7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:rsidR="00F664A7" w:rsidRPr="0020206E" w:rsidRDefault="00F664A7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:rsidR="00F664A7" w:rsidRPr="0020206E" w:rsidRDefault="00F664A7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:rsidR="00F664A7" w:rsidRPr="0020206E" w:rsidRDefault="00F664A7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:rsidR="00F664A7" w:rsidRPr="00F664A7" w:rsidRDefault="00F664A7">
            <w:pPr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</w:tcBorders>
          </w:tcPr>
          <w:p w:rsidR="00D63D47" w:rsidRPr="009A54A7" w:rsidRDefault="00D63D47" w:rsidP="00D63D47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What </w:t>
            </w:r>
            <w:r w:rsidRPr="00116857">
              <w:rPr>
                <w:sz w:val="14"/>
                <w:szCs w:val="14"/>
              </w:rPr>
              <w:t xml:space="preserve">driving questions will frame </w:t>
            </w:r>
            <w:r>
              <w:rPr>
                <w:sz w:val="14"/>
                <w:szCs w:val="14"/>
              </w:rPr>
              <w:t xml:space="preserve">the </w:t>
            </w:r>
            <w:r w:rsidRPr="00116857">
              <w:rPr>
                <w:sz w:val="14"/>
                <w:szCs w:val="14"/>
              </w:rPr>
              <w:t>learning?</w:t>
            </w:r>
            <w:r>
              <w:rPr>
                <w:sz w:val="14"/>
                <w:szCs w:val="14"/>
              </w:rPr>
              <w:t xml:space="preserve"> (open-ended; connected to Big Ideas)</w:t>
            </w:r>
          </w:p>
          <w:p w:rsidR="00D63D47" w:rsidRPr="00F664A7" w:rsidRDefault="00D63D47">
            <w:pPr>
              <w:rPr>
                <w:b/>
                <w:sz w:val="20"/>
                <w:szCs w:val="20"/>
              </w:rPr>
            </w:pPr>
          </w:p>
          <w:p w:rsidR="00D63D47" w:rsidRPr="00F664A7" w:rsidRDefault="00D63D47">
            <w:pPr>
              <w:rPr>
                <w:b/>
                <w:sz w:val="20"/>
                <w:szCs w:val="20"/>
              </w:rPr>
            </w:pPr>
          </w:p>
          <w:p w:rsidR="00D63D47" w:rsidRPr="009A54A7" w:rsidRDefault="00D63D47">
            <w:pPr>
              <w:rPr>
                <w:b/>
                <w:sz w:val="24"/>
                <w:szCs w:val="24"/>
              </w:rPr>
            </w:pPr>
          </w:p>
        </w:tc>
      </w:tr>
      <w:tr w:rsidR="00751FBC" w:rsidRPr="00751FBC" w:rsidTr="009A54A7">
        <w:trPr>
          <w:cantSplit/>
          <w:trHeight w:val="1134"/>
        </w:trPr>
        <w:tc>
          <w:tcPr>
            <w:tcW w:w="473" w:type="dxa"/>
            <w:vMerge w:val="restart"/>
            <w:shd w:val="clear" w:color="auto" w:fill="BFBFBF" w:themeFill="background1" w:themeFillShade="BF"/>
            <w:textDirection w:val="btLr"/>
          </w:tcPr>
          <w:p w:rsidR="00751FBC" w:rsidRPr="006401BC" w:rsidRDefault="00751FBC" w:rsidP="00751F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401BC">
              <w:rPr>
                <w:b/>
                <w:sz w:val="20"/>
                <w:szCs w:val="20"/>
              </w:rPr>
              <w:t>Do</w:t>
            </w:r>
          </w:p>
        </w:tc>
        <w:tc>
          <w:tcPr>
            <w:tcW w:w="10543" w:type="dxa"/>
            <w:gridSpan w:val="2"/>
          </w:tcPr>
          <w:p w:rsidR="0002632F" w:rsidRPr="0002632F" w:rsidRDefault="00751FBC">
            <w:pPr>
              <w:rPr>
                <w:b/>
                <w:sz w:val="24"/>
                <w:szCs w:val="24"/>
              </w:rPr>
            </w:pPr>
            <w:r w:rsidRPr="0002632F">
              <w:rPr>
                <w:b/>
                <w:sz w:val="24"/>
                <w:szCs w:val="24"/>
              </w:rPr>
              <w:t>Core Competencies</w:t>
            </w:r>
          </w:p>
          <w:p w:rsidR="0002632F" w:rsidRPr="00116857" w:rsidRDefault="0002632F">
            <w:pPr>
              <w:rPr>
                <w:sz w:val="14"/>
                <w:szCs w:val="14"/>
              </w:rPr>
            </w:pPr>
            <w:r w:rsidRPr="00116857">
              <w:rPr>
                <w:sz w:val="14"/>
                <w:szCs w:val="14"/>
              </w:rPr>
              <w:t>Which core com</w:t>
            </w:r>
            <w:r w:rsidR="00F664A7">
              <w:rPr>
                <w:sz w:val="14"/>
                <w:szCs w:val="14"/>
              </w:rPr>
              <w:t>petency or competencies will be focused on in</w:t>
            </w:r>
            <w:r w:rsidRPr="00116857">
              <w:rPr>
                <w:sz w:val="14"/>
                <w:szCs w:val="14"/>
              </w:rPr>
              <w:t xml:space="preserve"> this unit?</w:t>
            </w:r>
          </w:p>
          <w:p w:rsidR="0002632F" w:rsidRPr="00116857" w:rsidRDefault="0002632F">
            <w:pPr>
              <w:rPr>
                <w:sz w:val="14"/>
                <w:szCs w:val="14"/>
              </w:rPr>
            </w:pPr>
            <w:r w:rsidRPr="00116857">
              <w:rPr>
                <w:sz w:val="14"/>
                <w:szCs w:val="14"/>
              </w:rPr>
              <w:t xml:space="preserve">Communication    </w:t>
            </w:r>
            <w:r w:rsidR="0020794F" w:rsidRPr="00116857">
              <w:rPr>
                <w:sz w:val="14"/>
                <w:szCs w:val="14"/>
              </w:rPr>
              <w:t xml:space="preserve">  </w:t>
            </w:r>
            <w:r w:rsidR="006B3ABC" w:rsidRPr="00116857">
              <w:rPr>
                <w:sz w:val="14"/>
                <w:szCs w:val="14"/>
              </w:rPr>
              <w:t xml:space="preserve">    </w:t>
            </w:r>
            <w:r w:rsidRPr="00116857">
              <w:rPr>
                <w:sz w:val="14"/>
                <w:szCs w:val="14"/>
              </w:rPr>
              <w:t xml:space="preserve">Creative Thinking   </w:t>
            </w:r>
            <w:r w:rsidR="0020794F" w:rsidRPr="00116857">
              <w:rPr>
                <w:sz w:val="14"/>
                <w:szCs w:val="14"/>
              </w:rPr>
              <w:t xml:space="preserve">   </w:t>
            </w:r>
            <w:r w:rsidR="006B3ABC" w:rsidRPr="00116857">
              <w:rPr>
                <w:sz w:val="14"/>
                <w:szCs w:val="14"/>
              </w:rPr>
              <w:t xml:space="preserve">   </w:t>
            </w:r>
            <w:r w:rsidRPr="00116857">
              <w:rPr>
                <w:sz w:val="14"/>
                <w:szCs w:val="14"/>
              </w:rPr>
              <w:t xml:space="preserve"> Critical Thinking   </w:t>
            </w:r>
            <w:r w:rsidR="006B3ABC" w:rsidRPr="00116857">
              <w:rPr>
                <w:sz w:val="14"/>
                <w:szCs w:val="14"/>
              </w:rPr>
              <w:t xml:space="preserve">  </w:t>
            </w:r>
            <w:r w:rsidR="0020794F" w:rsidRPr="00116857">
              <w:rPr>
                <w:sz w:val="14"/>
                <w:szCs w:val="14"/>
              </w:rPr>
              <w:t xml:space="preserve">   </w:t>
            </w:r>
            <w:r w:rsidR="006B3ABC" w:rsidRPr="00116857">
              <w:rPr>
                <w:sz w:val="14"/>
                <w:szCs w:val="14"/>
              </w:rPr>
              <w:t xml:space="preserve"> </w:t>
            </w:r>
            <w:r w:rsidRPr="00116857">
              <w:rPr>
                <w:sz w:val="14"/>
                <w:szCs w:val="14"/>
              </w:rPr>
              <w:t xml:space="preserve"> Positive </w:t>
            </w:r>
            <w:r w:rsidR="006B3ABC" w:rsidRPr="00116857">
              <w:rPr>
                <w:sz w:val="14"/>
                <w:szCs w:val="14"/>
              </w:rPr>
              <w:t xml:space="preserve">Personal and Cultural Identity    </w:t>
            </w:r>
            <w:r w:rsidR="0020794F" w:rsidRPr="00116857">
              <w:rPr>
                <w:sz w:val="14"/>
                <w:szCs w:val="14"/>
              </w:rPr>
              <w:t xml:space="preserve">      </w:t>
            </w:r>
            <w:r w:rsidR="006B3ABC" w:rsidRPr="00116857">
              <w:rPr>
                <w:sz w:val="14"/>
                <w:szCs w:val="14"/>
              </w:rPr>
              <w:t xml:space="preserve"> Personal Awareness and Responsibility       </w:t>
            </w:r>
            <w:r w:rsidR="0020794F" w:rsidRPr="00116857">
              <w:rPr>
                <w:sz w:val="14"/>
                <w:szCs w:val="14"/>
              </w:rPr>
              <w:t xml:space="preserve">  </w:t>
            </w:r>
            <w:r w:rsidR="006B3ABC" w:rsidRPr="00116857">
              <w:rPr>
                <w:sz w:val="14"/>
                <w:szCs w:val="14"/>
              </w:rPr>
              <w:t xml:space="preserve"> Social Responsibility</w:t>
            </w:r>
          </w:p>
          <w:p w:rsidR="0002632F" w:rsidRPr="0020206E" w:rsidRDefault="0002632F">
            <w:pPr>
              <w:rPr>
                <w:b/>
                <w:sz w:val="20"/>
                <w:szCs w:val="20"/>
              </w:rPr>
            </w:pPr>
          </w:p>
          <w:p w:rsidR="0002632F" w:rsidRPr="00D16928" w:rsidRDefault="0002632F">
            <w:pPr>
              <w:rPr>
                <w:sz w:val="24"/>
                <w:szCs w:val="24"/>
              </w:rPr>
            </w:pPr>
          </w:p>
        </w:tc>
      </w:tr>
      <w:tr w:rsidR="00751FBC" w:rsidRPr="00751FBC" w:rsidTr="009A54A7">
        <w:tc>
          <w:tcPr>
            <w:tcW w:w="473" w:type="dxa"/>
            <w:vMerge/>
            <w:shd w:val="clear" w:color="auto" w:fill="BFBFBF" w:themeFill="background1" w:themeFillShade="BF"/>
          </w:tcPr>
          <w:p w:rsidR="00751FBC" w:rsidRPr="00751FBC" w:rsidRDefault="00751FBC">
            <w:pPr>
              <w:rPr>
                <w:b/>
                <w:sz w:val="18"/>
                <w:szCs w:val="18"/>
              </w:rPr>
            </w:pPr>
          </w:p>
        </w:tc>
        <w:tc>
          <w:tcPr>
            <w:tcW w:w="10543" w:type="dxa"/>
            <w:gridSpan w:val="2"/>
          </w:tcPr>
          <w:p w:rsidR="00751FBC" w:rsidRPr="0002632F" w:rsidRDefault="00751FBC">
            <w:pPr>
              <w:rPr>
                <w:b/>
                <w:sz w:val="24"/>
                <w:szCs w:val="24"/>
              </w:rPr>
            </w:pPr>
            <w:r w:rsidRPr="0002632F">
              <w:rPr>
                <w:b/>
                <w:sz w:val="24"/>
                <w:szCs w:val="24"/>
              </w:rPr>
              <w:t>Curricular Competencies</w:t>
            </w:r>
          </w:p>
          <w:p w:rsidR="00751FBC" w:rsidRPr="00116857" w:rsidRDefault="00F664A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Which process skills will students </w:t>
            </w:r>
            <w:r w:rsidR="006135AF">
              <w:rPr>
                <w:sz w:val="14"/>
                <w:szCs w:val="14"/>
              </w:rPr>
              <w:t xml:space="preserve">be applying in order </w:t>
            </w:r>
            <w:r w:rsidR="00320859" w:rsidRPr="00116857">
              <w:rPr>
                <w:sz w:val="14"/>
                <w:szCs w:val="14"/>
              </w:rPr>
              <w:t>to learn the content?</w:t>
            </w:r>
            <w:r>
              <w:rPr>
                <w:sz w:val="14"/>
                <w:szCs w:val="14"/>
              </w:rPr>
              <w:t xml:space="preserve"> </w:t>
            </w:r>
            <w:r w:rsidR="006135AF">
              <w:rPr>
                <w:sz w:val="14"/>
                <w:szCs w:val="14"/>
              </w:rPr>
              <w:t xml:space="preserve"> </w:t>
            </w:r>
            <w:r w:rsidR="00CD54AE">
              <w:rPr>
                <w:sz w:val="14"/>
                <w:szCs w:val="14"/>
              </w:rPr>
              <w:t>List only those that will be assessed.</w:t>
            </w:r>
          </w:p>
          <w:p w:rsidR="00751FBC" w:rsidRPr="0020206E" w:rsidRDefault="00751FBC">
            <w:pPr>
              <w:rPr>
                <w:b/>
                <w:sz w:val="20"/>
                <w:szCs w:val="20"/>
              </w:rPr>
            </w:pPr>
          </w:p>
          <w:p w:rsidR="00751FBC" w:rsidRPr="0020206E" w:rsidRDefault="00751FBC">
            <w:pPr>
              <w:rPr>
                <w:b/>
                <w:sz w:val="20"/>
                <w:szCs w:val="20"/>
              </w:rPr>
            </w:pPr>
          </w:p>
          <w:p w:rsidR="00751FBC" w:rsidRPr="0020206E" w:rsidRDefault="00751FBC">
            <w:pPr>
              <w:rPr>
                <w:b/>
                <w:sz w:val="20"/>
                <w:szCs w:val="20"/>
              </w:rPr>
            </w:pPr>
          </w:p>
          <w:p w:rsidR="0002632F" w:rsidRPr="0020206E" w:rsidRDefault="0002632F">
            <w:pPr>
              <w:rPr>
                <w:b/>
                <w:sz w:val="24"/>
                <w:szCs w:val="24"/>
              </w:rPr>
            </w:pPr>
          </w:p>
          <w:p w:rsidR="009A54A7" w:rsidRPr="0020206E" w:rsidRDefault="009A54A7">
            <w:pPr>
              <w:rPr>
                <w:b/>
                <w:sz w:val="24"/>
                <w:szCs w:val="24"/>
              </w:rPr>
            </w:pPr>
          </w:p>
          <w:p w:rsidR="009A54A7" w:rsidRPr="00D16928" w:rsidRDefault="009A54A7">
            <w:pPr>
              <w:rPr>
                <w:sz w:val="24"/>
                <w:szCs w:val="24"/>
              </w:rPr>
            </w:pPr>
          </w:p>
        </w:tc>
      </w:tr>
      <w:tr w:rsidR="00751FBC" w:rsidRPr="00751FBC" w:rsidTr="009A54A7">
        <w:trPr>
          <w:cantSplit/>
          <w:trHeight w:val="1134"/>
        </w:trPr>
        <w:tc>
          <w:tcPr>
            <w:tcW w:w="473" w:type="dxa"/>
            <w:shd w:val="clear" w:color="auto" w:fill="BFBFBF" w:themeFill="background1" w:themeFillShade="BF"/>
            <w:textDirection w:val="btLr"/>
          </w:tcPr>
          <w:p w:rsidR="00751FBC" w:rsidRPr="00116857" w:rsidRDefault="00751FBC" w:rsidP="00751F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16857">
              <w:rPr>
                <w:b/>
                <w:sz w:val="20"/>
                <w:szCs w:val="20"/>
              </w:rPr>
              <w:t>Know</w:t>
            </w:r>
          </w:p>
        </w:tc>
        <w:tc>
          <w:tcPr>
            <w:tcW w:w="10543" w:type="dxa"/>
            <w:gridSpan w:val="2"/>
          </w:tcPr>
          <w:p w:rsidR="00751FBC" w:rsidRPr="0002632F" w:rsidRDefault="00751FBC">
            <w:pPr>
              <w:rPr>
                <w:b/>
                <w:sz w:val="24"/>
                <w:szCs w:val="24"/>
              </w:rPr>
            </w:pPr>
            <w:r w:rsidRPr="0002632F">
              <w:rPr>
                <w:b/>
                <w:sz w:val="24"/>
                <w:szCs w:val="24"/>
              </w:rPr>
              <w:t>Content</w:t>
            </w:r>
          </w:p>
          <w:p w:rsidR="0002632F" w:rsidRPr="00116857" w:rsidRDefault="00320859">
            <w:pPr>
              <w:rPr>
                <w:sz w:val="14"/>
                <w:szCs w:val="14"/>
              </w:rPr>
            </w:pPr>
            <w:r w:rsidRPr="00116857">
              <w:rPr>
                <w:sz w:val="14"/>
                <w:szCs w:val="14"/>
              </w:rPr>
              <w:t>Wha</w:t>
            </w:r>
            <w:r w:rsidR="006135AF">
              <w:rPr>
                <w:sz w:val="14"/>
                <w:szCs w:val="14"/>
              </w:rPr>
              <w:t>t knowledge will students learn and be assessed on?</w:t>
            </w:r>
          </w:p>
          <w:p w:rsidR="0002632F" w:rsidRPr="0020206E" w:rsidRDefault="0002632F">
            <w:pPr>
              <w:rPr>
                <w:b/>
                <w:sz w:val="20"/>
                <w:szCs w:val="20"/>
              </w:rPr>
            </w:pPr>
          </w:p>
          <w:p w:rsidR="0002632F" w:rsidRPr="0020206E" w:rsidRDefault="0002632F">
            <w:pPr>
              <w:rPr>
                <w:b/>
                <w:sz w:val="20"/>
                <w:szCs w:val="20"/>
              </w:rPr>
            </w:pPr>
          </w:p>
          <w:p w:rsidR="009A54A7" w:rsidRPr="0020206E" w:rsidRDefault="009A54A7">
            <w:pPr>
              <w:rPr>
                <w:b/>
                <w:sz w:val="20"/>
                <w:szCs w:val="20"/>
              </w:rPr>
            </w:pPr>
          </w:p>
          <w:p w:rsidR="009A54A7" w:rsidRPr="0020206E" w:rsidRDefault="009A54A7">
            <w:pPr>
              <w:rPr>
                <w:b/>
                <w:sz w:val="20"/>
                <w:szCs w:val="20"/>
              </w:rPr>
            </w:pPr>
          </w:p>
          <w:p w:rsidR="0002632F" w:rsidRPr="0020206E" w:rsidRDefault="0002632F">
            <w:pPr>
              <w:rPr>
                <w:b/>
                <w:sz w:val="20"/>
                <w:szCs w:val="20"/>
              </w:rPr>
            </w:pPr>
          </w:p>
          <w:p w:rsidR="0002632F" w:rsidRPr="00D16928" w:rsidRDefault="0002632F">
            <w:pPr>
              <w:rPr>
                <w:sz w:val="24"/>
                <w:szCs w:val="24"/>
              </w:rPr>
            </w:pPr>
          </w:p>
        </w:tc>
      </w:tr>
    </w:tbl>
    <w:p w:rsidR="00F54ABA" w:rsidRPr="0002632F" w:rsidRDefault="00F54AB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10543"/>
      </w:tblGrid>
      <w:tr w:rsidR="00751FBC" w:rsidRPr="00751FBC" w:rsidTr="00E52FF2">
        <w:tc>
          <w:tcPr>
            <w:tcW w:w="11016" w:type="dxa"/>
            <w:gridSpan w:val="2"/>
          </w:tcPr>
          <w:p w:rsidR="00751FBC" w:rsidRPr="00116857" w:rsidRDefault="00751FBC" w:rsidP="00E52FF2">
            <w:pPr>
              <w:jc w:val="center"/>
              <w:rPr>
                <w:rFonts w:ascii="Goudy Stout" w:hAnsi="Goudy Stout"/>
                <w:b/>
                <w:sz w:val="24"/>
                <w:szCs w:val="24"/>
              </w:rPr>
            </w:pPr>
            <w:r w:rsidRPr="00116857">
              <w:rPr>
                <w:rFonts w:ascii="Goudy Stout" w:hAnsi="Goudy Stout"/>
                <w:b/>
                <w:sz w:val="24"/>
                <w:szCs w:val="24"/>
              </w:rPr>
              <w:t>Assessment</w:t>
            </w:r>
          </w:p>
        </w:tc>
      </w:tr>
      <w:tr w:rsidR="00751FBC" w:rsidRPr="00751FBC" w:rsidTr="00116857">
        <w:trPr>
          <w:cantSplit/>
          <w:trHeight w:val="1134"/>
        </w:trPr>
        <w:tc>
          <w:tcPr>
            <w:tcW w:w="473" w:type="dxa"/>
            <w:shd w:val="clear" w:color="auto" w:fill="BFBFBF" w:themeFill="background1" w:themeFillShade="BF"/>
            <w:textDirection w:val="btLr"/>
          </w:tcPr>
          <w:p w:rsidR="00751FBC" w:rsidRPr="00116857" w:rsidRDefault="0002632F" w:rsidP="00D1692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16857">
              <w:rPr>
                <w:b/>
                <w:sz w:val="20"/>
                <w:szCs w:val="20"/>
              </w:rPr>
              <w:t>FOR L</w:t>
            </w:r>
            <w:r w:rsidR="00D16928" w:rsidRPr="00116857">
              <w:rPr>
                <w:b/>
                <w:sz w:val="20"/>
                <w:szCs w:val="20"/>
              </w:rPr>
              <w:t>earning</w:t>
            </w:r>
          </w:p>
          <w:p w:rsidR="00D16928" w:rsidRPr="00751FBC" w:rsidRDefault="00D16928" w:rsidP="00D16928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0543" w:type="dxa"/>
          </w:tcPr>
          <w:p w:rsidR="00751FBC" w:rsidRPr="00116857" w:rsidRDefault="00D16928" w:rsidP="00E52FF2">
            <w:pPr>
              <w:rPr>
                <w:b/>
                <w:sz w:val="24"/>
                <w:szCs w:val="24"/>
              </w:rPr>
            </w:pPr>
            <w:r w:rsidRPr="00116857">
              <w:rPr>
                <w:b/>
                <w:sz w:val="24"/>
                <w:szCs w:val="24"/>
              </w:rPr>
              <w:t>Formative</w:t>
            </w:r>
          </w:p>
          <w:p w:rsidR="00D16928" w:rsidRPr="00116857" w:rsidRDefault="00AF1394" w:rsidP="00E52F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How will information be gathered</w:t>
            </w:r>
            <w:r w:rsidR="00116857">
              <w:rPr>
                <w:sz w:val="14"/>
                <w:szCs w:val="14"/>
              </w:rPr>
              <w:t xml:space="preserve"> ab</w:t>
            </w:r>
            <w:r w:rsidR="009A54A7">
              <w:rPr>
                <w:sz w:val="14"/>
                <w:szCs w:val="14"/>
              </w:rPr>
              <w:t>out what students already know</w:t>
            </w:r>
            <w:r w:rsidR="00116857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 xml:space="preserve">i.e., </w:t>
            </w:r>
            <w:r w:rsidR="00116857">
              <w:rPr>
                <w:sz w:val="14"/>
                <w:szCs w:val="14"/>
              </w:rPr>
              <w:t>pre-assessment</w:t>
            </w:r>
            <w:r w:rsidR="009A54A7">
              <w:rPr>
                <w:sz w:val="14"/>
                <w:szCs w:val="14"/>
              </w:rPr>
              <w:t>/accessing prior knowledge</w:t>
            </w:r>
            <w:r w:rsidR="00116857">
              <w:rPr>
                <w:sz w:val="14"/>
                <w:szCs w:val="14"/>
              </w:rPr>
              <w:t>)</w:t>
            </w:r>
            <w:r w:rsidR="009A54A7">
              <w:rPr>
                <w:sz w:val="14"/>
                <w:szCs w:val="14"/>
              </w:rPr>
              <w:t>?</w:t>
            </w:r>
            <w:r w:rsidR="00116857">
              <w:rPr>
                <w:sz w:val="14"/>
                <w:szCs w:val="14"/>
              </w:rPr>
              <w:t xml:space="preserve">  </w:t>
            </w:r>
            <w:r w:rsidR="00320859" w:rsidRPr="00116857">
              <w:rPr>
                <w:sz w:val="14"/>
                <w:szCs w:val="14"/>
              </w:rPr>
              <w:t xml:space="preserve">What strategies will </w:t>
            </w:r>
            <w:r w:rsidR="00BD03F4">
              <w:rPr>
                <w:sz w:val="14"/>
                <w:szCs w:val="14"/>
              </w:rPr>
              <w:t xml:space="preserve">be used </w:t>
            </w:r>
            <w:r w:rsidR="00320859" w:rsidRPr="00116857">
              <w:rPr>
                <w:sz w:val="14"/>
                <w:szCs w:val="14"/>
              </w:rPr>
              <w:t>to evaluate student learning and adjust teaching?  Where will students have the opportunity to share their understanding in order to receive feedback, revise and improve?</w:t>
            </w:r>
          </w:p>
          <w:p w:rsidR="005055E4" w:rsidRPr="0020206E" w:rsidRDefault="005055E4" w:rsidP="00E52FF2">
            <w:pPr>
              <w:rPr>
                <w:b/>
                <w:sz w:val="20"/>
                <w:szCs w:val="20"/>
              </w:rPr>
            </w:pPr>
          </w:p>
          <w:p w:rsidR="005055E4" w:rsidRPr="0020206E" w:rsidRDefault="005055E4" w:rsidP="00E52FF2">
            <w:pPr>
              <w:rPr>
                <w:b/>
                <w:sz w:val="20"/>
                <w:szCs w:val="20"/>
              </w:rPr>
            </w:pPr>
          </w:p>
          <w:p w:rsidR="005055E4" w:rsidRPr="0020206E" w:rsidRDefault="005055E4" w:rsidP="00E52FF2">
            <w:pPr>
              <w:rPr>
                <w:b/>
                <w:sz w:val="24"/>
                <w:szCs w:val="24"/>
              </w:rPr>
            </w:pPr>
          </w:p>
          <w:p w:rsidR="005055E4" w:rsidRPr="00D16928" w:rsidRDefault="005055E4" w:rsidP="00E52FF2">
            <w:pPr>
              <w:rPr>
                <w:sz w:val="24"/>
                <w:szCs w:val="24"/>
              </w:rPr>
            </w:pPr>
          </w:p>
        </w:tc>
      </w:tr>
      <w:tr w:rsidR="00751FBC" w:rsidRPr="00751FBC" w:rsidTr="00116857">
        <w:trPr>
          <w:cantSplit/>
          <w:trHeight w:val="1134"/>
        </w:trPr>
        <w:tc>
          <w:tcPr>
            <w:tcW w:w="473" w:type="dxa"/>
            <w:shd w:val="clear" w:color="auto" w:fill="BFBFBF" w:themeFill="background1" w:themeFillShade="BF"/>
            <w:textDirection w:val="btLr"/>
          </w:tcPr>
          <w:p w:rsidR="00751FBC" w:rsidRPr="00116857" w:rsidRDefault="0002632F" w:rsidP="00E52FF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16857">
              <w:rPr>
                <w:b/>
                <w:sz w:val="20"/>
                <w:szCs w:val="20"/>
              </w:rPr>
              <w:t>AS L</w:t>
            </w:r>
            <w:r w:rsidR="00C050C9">
              <w:rPr>
                <w:b/>
                <w:sz w:val="20"/>
                <w:szCs w:val="20"/>
              </w:rPr>
              <w:t>earning</w:t>
            </w:r>
          </w:p>
        </w:tc>
        <w:tc>
          <w:tcPr>
            <w:tcW w:w="10543" w:type="dxa"/>
          </w:tcPr>
          <w:p w:rsidR="00751FBC" w:rsidRPr="00116857" w:rsidRDefault="00D16928" w:rsidP="00E52FF2">
            <w:pPr>
              <w:rPr>
                <w:b/>
                <w:sz w:val="24"/>
                <w:szCs w:val="24"/>
              </w:rPr>
            </w:pPr>
            <w:r w:rsidRPr="00116857">
              <w:rPr>
                <w:b/>
                <w:sz w:val="24"/>
                <w:szCs w:val="24"/>
              </w:rPr>
              <w:t>Reflective</w:t>
            </w:r>
          </w:p>
          <w:p w:rsidR="00D16928" w:rsidRPr="009A54A7" w:rsidRDefault="005055E4" w:rsidP="00E52FF2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What opportunities will there be for students to reflect on their </w:t>
            </w:r>
            <w:r w:rsidRPr="005055E4">
              <w:rPr>
                <w:sz w:val="14"/>
                <w:szCs w:val="14"/>
              </w:rPr>
              <w:t>thinking</w:t>
            </w:r>
            <w:r>
              <w:rPr>
                <w:sz w:val="14"/>
                <w:szCs w:val="14"/>
              </w:rPr>
              <w:t xml:space="preserve"> and </w:t>
            </w:r>
            <w:r w:rsidRPr="005055E4">
              <w:rPr>
                <w:sz w:val="14"/>
                <w:szCs w:val="14"/>
              </w:rPr>
              <w:t>feelings</w:t>
            </w:r>
            <w:r>
              <w:rPr>
                <w:sz w:val="14"/>
                <w:szCs w:val="14"/>
              </w:rPr>
              <w:t xml:space="preserve"> as part of their learning?  (e</w:t>
            </w:r>
            <w:r w:rsidR="00AF1394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g.</w:t>
            </w:r>
            <w:r w:rsidR="00AF139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 xml:space="preserve"> self/</w:t>
            </w:r>
            <w:r w:rsidR="00320859" w:rsidRPr="00116857">
              <w:rPr>
                <w:sz w:val="14"/>
                <w:szCs w:val="14"/>
              </w:rPr>
              <w:t>peer evaluations,</w:t>
            </w:r>
            <w:r w:rsidR="00116857">
              <w:rPr>
                <w:sz w:val="14"/>
                <w:szCs w:val="14"/>
              </w:rPr>
              <w:t xml:space="preserve"> </w:t>
            </w:r>
            <w:r w:rsidR="004B7D77">
              <w:rPr>
                <w:sz w:val="14"/>
                <w:szCs w:val="14"/>
              </w:rPr>
              <w:t>partner talk</w:t>
            </w:r>
            <w:r w:rsidR="00116857">
              <w:rPr>
                <w:sz w:val="14"/>
                <w:szCs w:val="14"/>
              </w:rPr>
              <w:t>,</w:t>
            </w:r>
            <w:r w:rsidR="00320859" w:rsidRPr="00116857">
              <w:rPr>
                <w:sz w:val="14"/>
                <w:szCs w:val="14"/>
              </w:rPr>
              <w:t xml:space="preserve"> goal setting, </w:t>
            </w:r>
            <w:r>
              <w:rPr>
                <w:sz w:val="14"/>
                <w:szCs w:val="14"/>
              </w:rPr>
              <w:t xml:space="preserve">journaling, </w:t>
            </w:r>
            <w:r w:rsidR="00320859" w:rsidRPr="00116857">
              <w:rPr>
                <w:sz w:val="14"/>
                <w:szCs w:val="14"/>
              </w:rPr>
              <w:t>etc.)</w:t>
            </w:r>
            <w:r w:rsidR="00116857">
              <w:rPr>
                <w:sz w:val="14"/>
                <w:szCs w:val="14"/>
              </w:rPr>
              <w:t xml:space="preserve">   </w:t>
            </w:r>
          </w:p>
          <w:p w:rsidR="00D16928" w:rsidRPr="0020206E" w:rsidRDefault="00D16928" w:rsidP="00E52FF2">
            <w:pPr>
              <w:rPr>
                <w:b/>
                <w:sz w:val="20"/>
                <w:szCs w:val="20"/>
              </w:rPr>
            </w:pPr>
          </w:p>
          <w:p w:rsidR="0002632F" w:rsidRPr="0020206E" w:rsidRDefault="0002632F" w:rsidP="00E52FF2">
            <w:pPr>
              <w:rPr>
                <w:b/>
                <w:sz w:val="24"/>
                <w:szCs w:val="24"/>
              </w:rPr>
            </w:pPr>
          </w:p>
          <w:p w:rsidR="00C050C9" w:rsidRPr="00D16928" w:rsidRDefault="00C050C9" w:rsidP="00E52FF2">
            <w:pPr>
              <w:rPr>
                <w:sz w:val="24"/>
                <w:szCs w:val="24"/>
              </w:rPr>
            </w:pPr>
          </w:p>
        </w:tc>
      </w:tr>
      <w:tr w:rsidR="00751FBC" w:rsidRPr="00751FBC" w:rsidTr="00116857">
        <w:trPr>
          <w:cantSplit/>
          <w:trHeight w:val="1134"/>
        </w:trPr>
        <w:tc>
          <w:tcPr>
            <w:tcW w:w="473" w:type="dxa"/>
            <w:shd w:val="clear" w:color="auto" w:fill="BFBFBF" w:themeFill="background1" w:themeFillShade="BF"/>
            <w:textDirection w:val="btLr"/>
          </w:tcPr>
          <w:p w:rsidR="00751FBC" w:rsidRPr="00116857" w:rsidRDefault="0002632F" w:rsidP="00D1692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16857">
              <w:rPr>
                <w:b/>
                <w:sz w:val="20"/>
                <w:szCs w:val="20"/>
              </w:rPr>
              <w:t>OF L</w:t>
            </w:r>
            <w:r w:rsidR="00D16928" w:rsidRPr="00116857">
              <w:rPr>
                <w:b/>
                <w:sz w:val="20"/>
                <w:szCs w:val="20"/>
              </w:rPr>
              <w:t>earning</w:t>
            </w:r>
          </w:p>
        </w:tc>
        <w:tc>
          <w:tcPr>
            <w:tcW w:w="10543" w:type="dxa"/>
          </w:tcPr>
          <w:p w:rsidR="00751FBC" w:rsidRPr="00116857" w:rsidRDefault="00D16928" w:rsidP="00E52FF2">
            <w:pPr>
              <w:rPr>
                <w:b/>
                <w:sz w:val="24"/>
                <w:szCs w:val="24"/>
              </w:rPr>
            </w:pPr>
            <w:r w:rsidRPr="00116857">
              <w:rPr>
                <w:b/>
                <w:sz w:val="24"/>
                <w:szCs w:val="24"/>
              </w:rPr>
              <w:t>Summative</w:t>
            </w:r>
          </w:p>
          <w:p w:rsidR="00320859" w:rsidRPr="00116857" w:rsidRDefault="00320859" w:rsidP="00E52FF2">
            <w:pPr>
              <w:rPr>
                <w:sz w:val="14"/>
                <w:szCs w:val="14"/>
              </w:rPr>
            </w:pPr>
            <w:r w:rsidRPr="00116857">
              <w:rPr>
                <w:sz w:val="14"/>
                <w:szCs w:val="14"/>
              </w:rPr>
              <w:t xml:space="preserve">How will students </w:t>
            </w:r>
            <w:r w:rsidR="00FE6492">
              <w:rPr>
                <w:sz w:val="14"/>
                <w:szCs w:val="14"/>
              </w:rPr>
              <w:t>demonstrate their understanding</w:t>
            </w:r>
            <w:r w:rsidRPr="00116857">
              <w:rPr>
                <w:sz w:val="14"/>
                <w:szCs w:val="14"/>
              </w:rPr>
              <w:t xml:space="preserve"> </w:t>
            </w:r>
            <w:r w:rsidR="004B7D77">
              <w:rPr>
                <w:sz w:val="14"/>
                <w:szCs w:val="14"/>
              </w:rPr>
              <w:t xml:space="preserve">of the curricular connections listed above </w:t>
            </w:r>
            <w:r w:rsidRPr="00116857">
              <w:rPr>
                <w:sz w:val="14"/>
                <w:szCs w:val="14"/>
              </w:rPr>
              <w:t>(e</w:t>
            </w:r>
            <w:r w:rsidR="00AF1394">
              <w:rPr>
                <w:sz w:val="14"/>
                <w:szCs w:val="14"/>
              </w:rPr>
              <w:t>.</w:t>
            </w:r>
            <w:r w:rsidRPr="00116857">
              <w:rPr>
                <w:sz w:val="14"/>
                <w:szCs w:val="14"/>
              </w:rPr>
              <w:t>g.</w:t>
            </w:r>
            <w:r w:rsidR="00AF1394">
              <w:rPr>
                <w:sz w:val="14"/>
                <w:szCs w:val="14"/>
              </w:rPr>
              <w:t>,</w:t>
            </w:r>
            <w:r w:rsidRPr="00116857">
              <w:rPr>
                <w:sz w:val="14"/>
                <w:szCs w:val="14"/>
              </w:rPr>
              <w:t xml:space="preserve"> performance task, project, portfolio, test, etc.)</w:t>
            </w:r>
            <w:r w:rsidR="00FE6492">
              <w:rPr>
                <w:sz w:val="14"/>
                <w:szCs w:val="14"/>
              </w:rPr>
              <w:t>?</w:t>
            </w:r>
            <w:r w:rsidRPr="00116857">
              <w:rPr>
                <w:sz w:val="14"/>
                <w:szCs w:val="14"/>
              </w:rPr>
              <w:t xml:space="preserve">  </w:t>
            </w:r>
            <w:r w:rsidR="00E47153">
              <w:rPr>
                <w:sz w:val="14"/>
                <w:szCs w:val="14"/>
              </w:rPr>
              <w:t xml:space="preserve">How will the assessment </w:t>
            </w:r>
            <w:r w:rsidRPr="00116857">
              <w:rPr>
                <w:sz w:val="14"/>
                <w:szCs w:val="14"/>
              </w:rPr>
              <w:t>criteria be communicated to or created with students?</w:t>
            </w:r>
            <w:r w:rsidR="00116857">
              <w:rPr>
                <w:sz w:val="14"/>
                <w:szCs w:val="14"/>
              </w:rPr>
              <w:t xml:space="preserve">  </w:t>
            </w:r>
          </w:p>
          <w:p w:rsidR="00751FBC" w:rsidRPr="0020206E" w:rsidRDefault="00751FBC" w:rsidP="00E52FF2">
            <w:pPr>
              <w:rPr>
                <w:b/>
                <w:sz w:val="20"/>
                <w:szCs w:val="20"/>
              </w:rPr>
            </w:pPr>
          </w:p>
          <w:p w:rsidR="00751FBC" w:rsidRPr="0020206E" w:rsidRDefault="00751FBC" w:rsidP="00E52FF2">
            <w:pPr>
              <w:rPr>
                <w:b/>
                <w:sz w:val="20"/>
                <w:szCs w:val="20"/>
              </w:rPr>
            </w:pPr>
          </w:p>
          <w:p w:rsidR="00751FBC" w:rsidRPr="0020206E" w:rsidRDefault="00751FBC" w:rsidP="00E52FF2">
            <w:pPr>
              <w:rPr>
                <w:b/>
                <w:sz w:val="20"/>
                <w:szCs w:val="20"/>
              </w:rPr>
            </w:pPr>
          </w:p>
          <w:p w:rsidR="0002632F" w:rsidRPr="0020206E" w:rsidRDefault="0002632F" w:rsidP="00E52FF2">
            <w:pPr>
              <w:rPr>
                <w:b/>
                <w:sz w:val="20"/>
                <w:szCs w:val="20"/>
              </w:rPr>
            </w:pPr>
          </w:p>
          <w:p w:rsidR="009A54A7" w:rsidRPr="0020206E" w:rsidRDefault="009A54A7" w:rsidP="00E52FF2">
            <w:pPr>
              <w:rPr>
                <w:b/>
                <w:sz w:val="20"/>
                <w:szCs w:val="20"/>
              </w:rPr>
            </w:pPr>
          </w:p>
          <w:p w:rsidR="009A54A7" w:rsidRPr="0020206E" w:rsidRDefault="009A54A7" w:rsidP="00E52FF2">
            <w:pPr>
              <w:rPr>
                <w:b/>
                <w:sz w:val="20"/>
                <w:szCs w:val="20"/>
              </w:rPr>
            </w:pPr>
          </w:p>
          <w:p w:rsidR="00926DB8" w:rsidRPr="00D16928" w:rsidRDefault="00926DB8" w:rsidP="00E52FF2">
            <w:pPr>
              <w:rPr>
                <w:sz w:val="24"/>
                <w:szCs w:val="24"/>
              </w:rPr>
            </w:pPr>
          </w:p>
        </w:tc>
      </w:tr>
    </w:tbl>
    <w:p w:rsidR="00FE6492" w:rsidRDefault="00FE649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8928"/>
      </w:tblGrid>
      <w:tr w:rsidR="008065C2" w:rsidRPr="00116857" w:rsidTr="00FA6B9F">
        <w:tc>
          <w:tcPr>
            <w:tcW w:w="11016" w:type="dxa"/>
            <w:gridSpan w:val="2"/>
          </w:tcPr>
          <w:p w:rsidR="008065C2" w:rsidRPr="00116857" w:rsidRDefault="008065C2" w:rsidP="00FA6B9F">
            <w:pPr>
              <w:jc w:val="center"/>
              <w:rPr>
                <w:rFonts w:ascii="Goudy Stout" w:hAnsi="Goudy Stout"/>
                <w:b/>
                <w:sz w:val="24"/>
                <w:szCs w:val="24"/>
              </w:rPr>
            </w:pPr>
            <w:r w:rsidRPr="00116857">
              <w:rPr>
                <w:rFonts w:ascii="Goudy Stout" w:hAnsi="Goudy Stout"/>
                <w:b/>
                <w:sz w:val="24"/>
                <w:szCs w:val="24"/>
              </w:rPr>
              <w:lastRenderedPageBreak/>
              <w:t>Unit At a Glance</w:t>
            </w:r>
          </w:p>
        </w:tc>
      </w:tr>
      <w:tr w:rsidR="008065C2" w:rsidRPr="0002632F" w:rsidTr="00AF1394">
        <w:tc>
          <w:tcPr>
            <w:tcW w:w="2088" w:type="dxa"/>
            <w:shd w:val="clear" w:color="auto" w:fill="BFBFBF" w:themeFill="background1" w:themeFillShade="BF"/>
          </w:tcPr>
          <w:p w:rsidR="008065C2" w:rsidRDefault="008065C2" w:rsidP="00FA6B9F">
            <w:pPr>
              <w:rPr>
                <w:b/>
                <w:sz w:val="16"/>
                <w:szCs w:val="16"/>
              </w:rPr>
            </w:pPr>
          </w:p>
          <w:p w:rsidR="008065C2" w:rsidRDefault="008065C2" w:rsidP="00FA6B9F">
            <w:pPr>
              <w:rPr>
                <w:b/>
                <w:sz w:val="16"/>
                <w:szCs w:val="16"/>
              </w:rPr>
            </w:pPr>
          </w:p>
          <w:p w:rsidR="008065C2" w:rsidRDefault="008065C2" w:rsidP="00FA6B9F">
            <w:pPr>
              <w:rPr>
                <w:b/>
                <w:sz w:val="16"/>
                <w:szCs w:val="16"/>
              </w:rPr>
            </w:pPr>
          </w:p>
          <w:p w:rsidR="008065C2" w:rsidRDefault="008065C2" w:rsidP="00FA6B9F">
            <w:pPr>
              <w:rPr>
                <w:b/>
                <w:sz w:val="16"/>
                <w:szCs w:val="16"/>
              </w:rPr>
            </w:pPr>
          </w:p>
          <w:p w:rsidR="008065C2" w:rsidRDefault="008065C2" w:rsidP="00FA6B9F">
            <w:pPr>
              <w:rPr>
                <w:b/>
                <w:sz w:val="16"/>
                <w:szCs w:val="16"/>
              </w:rPr>
            </w:pPr>
          </w:p>
          <w:p w:rsidR="008065C2" w:rsidRPr="00116857" w:rsidRDefault="008065C2" w:rsidP="00FA6B9F">
            <w:pPr>
              <w:rPr>
                <w:b/>
                <w:sz w:val="18"/>
                <w:szCs w:val="18"/>
              </w:rPr>
            </w:pPr>
            <w:r w:rsidRPr="00116857">
              <w:rPr>
                <w:b/>
                <w:sz w:val="18"/>
                <w:szCs w:val="18"/>
              </w:rPr>
              <w:t>Planning Essentials:</w:t>
            </w:r>
          </w:p>
          <w:p w:rsidR="008065C2" w:rsidRDefault="008065C2" w:rsidP="00FA6B9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Extensions and adaptations</w:t>
            </w:r>
          </w:p>
          <w:p w:rsidR="00E47153" w:rsidRPr="00116857" w:rsidRDefault="00E47153" w:rsidP="00FA6B9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Aligns with assessment</w:t>
            </w:r>
          </w:p>
          <w:p w:rsidR="008065C2" w:rsidRPr="00116857" w:rsidRDefault="008065C2" w:rsidP="00FA6B9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Timelines</w:t>
            </w:r>
          </w:p>
          <w:p w:rsidR="008065C2" w:rsidRPr="00116857" w:rsidRDefault="008065C2" w:rsidP="00FA6B9F">
            <w:pPr>
              <w:rPr>
                <w:sz w:val="18"/>
                <w:szCs w:val="18"/>
              </w:rPr>
            </w:pPr>
          </w:p>
          <w:p w:rsidR="008065C2" w:rsidRPr="00116857" w:rsidRDefault="008065C2" w:rsidP="00FA6B9F">
            <w:pPr>
              <w:rPr>
                <w:sz w:val="18"/>
                <w:szCs w:val="18"/>
              </w:rPr>
            </w:pPr>
          </w:p>
          <w:p w:rsidR="008065C2" w:rsidRPr="00116857" w:rsidRDefault="008065C2" w:rsidP="00FA6B9F">
            <w:pPr>
              <w:rPr>
                <w:sz w:val="18"/>
                <w:szCs w:val="18"/>
              </w:rPr>
            </w:pPr>
          </w:p>
          <w:p w:rsidR="008065C2" w:rsidRPr="00116857" w:rsidRDefault="008065C2" w:rsidP="00FA6B9F">
            <w:pPr>
              <w:rPr>
                <w:sz w:val="18"/>
                <w:szCs w:val="18"/>
              </w:rPr>
            </w:pPr>
          </w:p>
          <w:p w:rsidR="008065C2" w:rsidRPr="00116857" w:rsidRDefault="008065C2" w:rsidP="00FA6B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Learning O</w:t>
            </w:r>
            <w:r w:rsidRPr="00116857">
              <w:rPr>
                <w:b/>
                <w:sz w:val="18"/>
                <w:szCs w:val="18"/>
              </w:rPr>
              <w:t>pportunities:</w:t>
            </w:r>
          </w:p>
          <w:p w:rsidR="008065C2" w:rsidRPr="00116857" w:rsidRDefault="008065C2" w:rsidP="00FA6B9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Cross-curricular connections</w:t>
            </w:r>
          </w:p>
          <w:p w:rsidR="008065C2" w:rsidRPr="00116857" w:rsidRDefault="008065C2" w:rsidP="00FA6B9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Aboriginal perspectives</w:t>
            </w:r>
          </w:p>
          <w:p w:rsidR="008065C2" w:rsidRPr="009A54A7" w:rsidRDefault="008065C2" w:rsidP="00FA6B9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Inquiry</w:t>
            </w:r>
          </w:p>
          <w:p w:rsidR="008065C2" w:rsidRPr="00116857" w:rsidRDefault="008065C2" w:rsidP="00FA6B9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Technology</w:t>
            </w:r>
          </w:p>
          <w:p w:rsidR="008065C2" w:rsidRPr="00116857" w:rsidRDefault="00AF1394" w:rsidP="00FA6B9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Place-based, </w:t>
            </w:r>
            <w:r w:rsidR="008065C2" w:rsidRPr="00116857">
              <w:rPr>
                <w:sz w:val="18"/>
                <w:szCs w:val="18"/>
              </w:rPr>
              <w:t>community learning</w:t>
            </w:r>
          </w:p>
          <w:p w:rsidR="008065C2" w:rsidRPr="00116857" w:rsidRDefault="008065C2" w:rsidP="00FA6B9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Sustainability and environmental  awareness</w:t>
            </w:r>
          </w:p>
          <w:p w:rsidR="008065C2" w:rsidRPr="00116857" w:rsidRDefault="008065C2" w:rsidP="00FA6B9F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Visual literacy</w:t>
            </w:r>
          </w:p>
          <w:p w:rsidR="008065C2" w:rsidRPr="00116857" w:rsidRDefault="008065C2" w:rsidP="00FA6B9F">
            <w:pPr>
              <w:rPr>
                <w:sz w:val="18"/>
                <w:szCs w:val="18"/>
              </w:rPr>
            </w:pPr>
          </w:p>
          <w:p w:rsidR="008065C2" w:rsidRPr="00116857" w:rsidRDefault="008065C2" w:rsidP="00FA6B9F">
            <w:pPr>
              <w:rPr>
                <w:sz w:val="18"/>
                <w:szCs w:val="18"/>
              </w:rPr>
            </w:pPr>
          </w:p>
          <w:p w:rsidR="008065C2" w:rsidRPr="00116857" w:rsidRDefault="008065C2" w:rsidP="00FA6B9F">
            <w:pPr>
              <w:rPr>
                <w:sz w:val="18"/>
                <w:szCs w:val="18"/>
              </w:rPr>
            </w:pPr>
          </w:p>
          <w:p w:rsidR="008065C2" w:rsidRPr="00116857" w:rsidRDefault="008065C2" w:rsidP="00FA6B9F">
            <w:pPr>
              <w:rPr>
                <w:sz w:val="18"/>
                <w:szCs w:val="18"/>
              </w:rPr>
            </w:pPr>
          </w:p>
          <w:p w:rsidR="008065C2" w:rsidRPr="00116857" w:rsidRDefault="008065C2" w:rsidP="00FA6B9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Co</w:t>
            </w:r>
            <w:r w:rsidRPr="00116857">
              <w:rPr>
                <w:b/>
                <w:sz w:val="18"/>
                <w:szCs w:val="18"/>
              </w:rPr>
              <w:t>nsiderations:</w:t>
            </w:r>
          </w:p>
          <w:p w:rsidR="008065C2" w:rsidRPr="00116857" w:rsidRDefault="008065C2" w:rsidP="00FA6B9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Differentiated learning</w:t>
            </w:r>
          </w:p>
          <w:p w:rsidR="008065C2" w:rsidRPr="00116857" w:rsidRDefault="008065C2" w:rsidP="00FA6B9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Student grouping</w:t>
            </w:r>
          </w:p>
          <w:p w:rsidR="008065C2" w:rsidRPr="00116857" w:rsidRDefault="008065C2" w:rsidP="00FA6B9F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116857">
              <w:rPr>
                <w:sz w:val="18"/>
                <w:szCs w:val="18"/>
              </w:rPr>
              <w:t>Student voice and choice</w:t>
            </w:r>
          </w:p>
          <w:p w:rsidR="00E47153" w:rsidRPr="00AF1394" w:rsidRDefault="00AF1394" w:rsidP="00E47153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AF1394">
              <w:rPr>
                <w:sz w:val="18"/>
                <w:szCs w:val="18"/>
              </w:rPr>
              <w:t xml:space="preserve">Anxiety </w:t>
            </w:r>
          </w:p>
          <w:p w:rsidR="00E47153" w:rsidRDefault="00E47153" w:rsidP="00E47153">
            <w:pPr>
              <w:rPr>
                <w:sz w:val="16"/>
                <w:szCs w:val="16"/>
              </w:rPr>
            </w:pPr>
          </w:p>
          <w:p w:rsidR="00E47153" w:rsidRDefault="00E47153" w:rsidP="00E47153">
            <w:pPr>
              <w:rPr>
                <w:sz w:val="16"/>
                <w:szCs w:val="16"/>
              </w:rPr>
            </w:pPr>
          </w:p>
          <w:p w:rsidR="00E47153" w:rsidRDefault="00E47153" w:rsidP="00E47153">
            <w:pPr>
              <w:rPr>
                <w:sz w:val="16"/>
                <w:szCs w:val="16"/>
              </w:rPr>
            </w:pPr>
          </w:p>
          <w:p w:rsidR="00E47153" w:rsidRDefault="00E47153" w:rsidP="00E47153">
            <w:pPr>
              <w:rPr>
                <w:sz w:val="16"/>
                <w:szCs w:val="16"/>
              </w:rPr>
            </w:pPr>
          </w:p>
          <w:p w:rsidR="00E47153" w:rsidRDefault="00E47153" w:rsidP="00E47153">
            <w:pPr>
              <w:rPr>
                <w:sz w:val="16"/>
                <w:szCs w:val="16"/>
              </w:rPr>
            </w:pPr>
          </w:p>
          <w:p w:rsidR="00E47153" w:rsidRDefault="00E47153" w:rsidP="00E47153">
            <w:pPr>
              <w:rPr>
                <w:sz w:val="16"/>
                <w:szCs w:val="16"/>
              </w:rPr>
            </w:pPr>
          </w:p>
          <w:p w:rsidR="00E47153" w:rsidRDefault="00E47153" w:rsidP="00E47153">
            <w:pPr>
              <w:rPr>
                <w:sz w:val="16"/>
                <w:szCs w:val="16"/>
              </w:rPr>
            </w:pPr>
          </w:p>
          <w:p w:rsidR="00E47153" w:rsidRPr="00E47153" w:rsidRDefault="00E47153" w:rsidP="00E47153">
            <w:pPr>
              <w:rPr>
                <w:sz w:val="16"/>
                <w:szCs w:val="16"/>
              </w:rPr>
            </w:pPr>
          </w:p>
        </w:tc>
        <w:tc>
          <w:tcPr>
            <w:tcW w:w="8928" w:type="dxa"/>
          </w:tcPr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Pr="00BD03F4" w:rsidRDefault="008065C2" w:rsidP="00FA6B9F">
            <w:pPr>
              <w:rPr>
                <w:sz w:val="20"/>
                <w:szCs w:val="20"/>
              </w:rPr>
            </w:pPr>
          </w:p>
          <w:p w:rsidR="008065C2" w:rsidRDefault="008065C2" w:rsidP="00FA6B9F">
            <w:pPr>
              <w:rPr>
                <w:sz w:val="24"/>
                <w:szCs w:val="24"/>
              </w:rPr>
            </w:pPr>
          </w:p>
          <w:p w:rsidR="004B73AB" w:rsidRDefault="004B73AB" w:rsidP="00FA6B9F">
            <w:pPr>
              <w:rPr>
                <w:sz w:val="24"/>
                <w:szCs w:val="24"/>
              </w:rPr>
            </w:pPr>
          </w:p>
          <w:p w:rsidR="004B73AB" w:rsidRDefault="004B73AB" w:rsidP="00FA6B9F">
            <w:pPr>
              <w:rPr>
                <w:sz w:val="24"/>
                <w:szCs w:val="24"/>
              </w:rPr>
            </w:pPr>
          </w:p>
          <w:p w:rsidR="004B73AB" w:rsidRDefault="004B73AB" w:rsidP="00FA6B9F">
            <w:pPr>
              <w:rPr>
                <w:sz w:val="24"/>
                <w:szCs w:val="24"/>
              </w:rPr>
            </w:pPr>
          </w:p>
          <w:p w:rsidR="004B73AB" w:rsidRDefault="004B73AB" w:rsidP="00FA6B9F">
            <w:pPr>
              <w:rPr>
                <w:sz w:val="24"/>
                <w:szCs w:val="24"/>
              </w:rPr>
            </w:pPr>
          </w:p>
          <w:p w:rsidR="004B73AB" w:rsidRPr="0002632F" w:rsidRDefault="004B73AB" w:rsidP="00FA6B9F">
            <w:pPr>
              <w:rPr>
                <w:sz w:val="24"/>
                <w:szCs w:val="24"/>
              </w:rPr>
            </w:pPr>
          </w:p>
        </w:tc>
      </w:tr>
    </w:tbl>
    <w:p w:rsidR="008065C2" w:rsidRPr="00116857" w:rsidRDefault="008065C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26DB8" w:rsidTr="00844B88">
        <w:tc>
          <w:tcPr>
            <w:tcW w:w="11016" w:type="dxa"/>
          </w:tcPr>
          <w:p w:rsidR="00926DB8" w:rsidRPr="00116857" w:rsidRDefault="00926DB8" w:rsidP="00844B88">
            <w:pPr>
              <w:jc w:val="center"/>
              <w:rPr>
                <w:rFonts w:ascii="Goudy Stout" w:hAnsi="Goudy Stout"/>
                <w:b/>
                <w:sz w:val="24"/>
                <w:szCs w:val="24"/>
              </w:rPr>
            </w:pPr>
            <w:r w:rsidRPr="00116857">
              <w:rPr>
                <w:rFonts w:ascii="Goudy Stout" w:hAnsi="Goudy Stout"/>
                <w:b/>
                <w:sz w:val="24"/>
                <w:szCs w:val="24"/>
              </w:rPr>
              <w:t>Resources</w:t>
            </w:r>
          </w:p>
        </w:tc>
      </w:tr>
      <w:tr w:rsidR="00926DB8" w:rsidTr="00844B88">
        <w:tc>
          <w:tcPr>
            <w:tcW w:w="11016" w:type="dxa"/>
          </w:tcPr>
          <w:p w:rsidR="00926DB8" w:rsidRPr="009A54A7" w:rsidRDefault="00926DB8" w:rsidP="00844B88">
            <w:pPr>
              <w:rPr>
                <w:sz w:val="20"/>
                <w:szCs w:val="20"/>
              </w:rPr>
            </w:pPr>
          </w:p>
          <w:p w:rsidR="00926DB8" w:rsidRPr="009A54A7" w:rsidRDefault="00926DB8" w:rsidP="00844B88">
            <w:pPr>
              <w:rPr>
                <w:sz w:val="20"/>
                <w:szCs w:val="20"/>
              </w:rPr>
            </w:pPr>
          </w:p>
          <w:p w:rsidR="00926DB8" w:rsidRPr="009A54A7" w:rsidRDefault="00926DB8" w:rsidP="00844B88">
            <w:pPr>
              <w:rPr>
                <w:sz w:val="20"/>
                <w:szCs w:val="20"/>
              </w:rPr>
            </w:pPr>
          </w:p>
          <w:p w:rsidR="00926DB8" w:rsidRPr="009A54A7" w:rsidRDefault="00926DB8" w:rsidP="00844B88">
            <w:pPr>
              <w:rPr>
                <w:sz w:val="20"/>
                <w:szCs w:val="20"/>
              </w:rPr>
            </w:pPr>
          </w:p>
          <w:p w:rsidR="00926DB8" w:rsidRPr="009A54A7" w:rsidRDefault="00926DB8" w:rsidP="00844B88">
            <w:pPr>
              <w:rPr>
                <w:sz w:val="20"/>
                <w:szCs w:val="20"/>
              </w:rPr>
            </w:pPr>
          </w:p>
          <w:p w:rsidR="00926DB8" w:rsidRDefault="00926DB8" w:rsidP="00844B88">
            <w:pPr>
              <w:rPr>
                <w:sz w:val="20"/>
                <w:szCs w:val="20"/>
              </w:rPr>
            </w:pPr>
          </w:p>
          <w:p w:rsidR="004B73AB" w:rsidRDefault="004B73AB" w:rsidP="00844B88">
            <w:pPr>
              <w:rPr>
                <w:sz w:val="20"/>
                <w:szCs w:val="20"/>
              </w:rPr>
            </w:pPr>
          </w:p>
          <w:p w:rsidR="004B73AB" w:rsidRPr="009A54A7" w:rsidRDefault="004B73AB" w:rsidP="00844B88">
            <w:pPr>
              <w:rPr>
                <w:sz w:val="20"/>
                <w:szCs w:val="20"/>
              </w:rPr>
            </w:pPr>
          </w:p>
          <w:p w:rsidR="00926DB8" w:rsidRPr="009A54A7" w:rsidRDefault="00926DB8" w:rsidP="00844B88">
            <w:pPr>
              <w:rPr>
                <w:sz w:val="20"/>
                <w:szCs w:val="20"/>
              </w:rPr>
            </w:pPr>
          </w:p>
          <w:p w:rsidR="0020794F" w:rsidRDefault="0020794F" w:rsidP="00844B88"/>
        </w:tc>
      </w:tr>
    </w:tbl>
    <w:p w:rsidR="0002632F" w:rsidRPr="00926DB8" w:rsidRDefault="0002632F">
      <w:pPr>
        <w:rPr>
          <w:sz w:val="16"/>
          <w:szCs w:val="16"/>
        </w:rPr>
      </w:pPr>
    </w:p>
    <w:sectPr w:rsidR="0002632F" w:rsidRPr="00926DB8" w:rsidSect="0020206E">
      <w:headerReference w:type="default" r:id="rId9"/>
      <w:footerReference w:type="default" r:id="rId10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A6" w:rsidRDefault="006E62A6" w:rsidP="00751FBC">
      <w:pPr>
        <w:spacing w:after="0" w:line="240" w:lineRule="auto"/>
      </w:pPr>
      <w:r>
        <w:separator/>
      </w:r>
    </w:p>
  </w:endnote>
  <w:endnote w:type="continuationSeparator" w:id="0">
    <w:p w:rsidR="006E62A6" w:rsidRDefault="006E62A6" w:rsidP="0075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oudy Stout">
    <w:altName w:val="Baskerville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94F" w:rsidRPr="0020206E" w:rsidRDefault="0020794F">
    <w:pPr>
      <w:pStyle w:val="Footer"/>
      <w:rPr>
        <w:sz w:val="16"/>
        <w:szCs w:val="16"/>
      </w:rPr>
    </w:pPr>
    <w:r w:rsidRPr="0020206E">
      <w:rPr>
        <w:sz w:val="16"/>
        <w:szCs w:val="16"/>
      </w:rPr>
      <w:t>Learning Services, SD #40</w:t>
    </w:r>
    <w:r w:rsidRPr="0020206E">
      <w:rPr>
        <w:sz w:val="16"/>
        <w:szCs w:val="16"/>
      </w:rPr>
      <w:ptab w:relativeTo="margin" w:alignment="center" w:leader="none"/>
    </w:r>
    <w:r w:rsidRPr="0020206E">
      <w:rPr>
        <w:i/>
        <w:sz w:val="16"/>
        <w:szCs w:val="16"/>
      </w:rPr>
      <w:t>DRAFT</w:t>
    </w:r>
    <w:r w:rsidRPr="0020206E">
      <w:rPr>
        <w:sz w:val="16"/>
        <w:szCs w:val="16"/>
      </w:rPr>
      <w:ptab w:relativeTo="margin" w:alignment="right" w:leader="none"/>
    </w:r>
    <w:r w:rsidRPr="0020206E">
      <w:rPr>
        <w:sz w:val="16"/>
        <w:szCs w:val="16"/>
      </w:rPr>
      <w:t xml:space="preserve">L Kim, J </w:t>
    </w:r>
    <w:proofErr w:type="spellStart"/>
    <w:r w:rsidRPr="0020206E">
      <w:rPr>
        <w:sz w:val="16"/>
        <w:szCs w:val="16"/>
      </w:rPr>
      <w:t>Angiola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A6" w:rsidRDefault="006E62A6" w:rsidP="00751FBC">
      <w:pPr>
        <w:spacing w:after="0" w:line="240" w:lineRule="auto"/>
      </w:pPr>
      <w:r>
        <w:separator/>
      </w:r>
    </w:p>
  </w:footnote>
  <w:footnote w:type="continuationSeparator" w:id="0">
    <w:p w:rsidR="006E62A6" w:rsidRDefault="006E62A6" w:rsidP="0075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FBC" w:rsidRDefault="00320859">
    <w:pPr>
      <w:pStyle w:val="Header"/>
    </w:pPr>
    <w:r>
      <w:t>Teacher</w:t>
    </w:r>
    <w:r w:rsidR="00751FBC">
      <w:t>:</w:t>
    </w:r>
    <w:r w:rsidR="00751FBC">
      <w:tab/>
    </w:r>
    <w:r>
      <w:t>Unit Title</w:t>
    </w:r>
    <w:r w:rsidR="00751FBC">
      <w:t>:</w:t>
    </w:r>
    <w:r w:rsidR="00751FBC">
      <w:tab/>
      <w:t>Grade:</w:t>
    </w:r>
  </w:p>
  <w:p w:rsidR="00751FBC" w:rsidRDefault="00751F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551A"/>
    <w:multiLevelType w:val="hybridMultilevel"/>
    <w:tmpl w:val="0F50F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4F7304"/>
    <w:multiLevelType w:val="hybridMultilevel"/>
    <w:tmpl w:val="5CF0B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B728E0"/>
    <w:multiLevelType w:val="hybridMultilevel"/>
    <w:tmpl w:val="833AA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4706D8"/>
    <w:multiLevelType w:val="hybridMultilevel"/>
    <w:tmpl w:val="9C5A9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2C4BC3"/>
    <w:multiLevelType w:val="hybridMultilevel"/>
    <w:tmpl w:val="9C54B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A403C9"/>
    <w:multiLevelType w:val="hybridMultilevel"/>
    <w:tmpl w:val="D20A4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BC"/>
    <w:rsid w:val="0002632F"/>
    <w:rsid w:val="00116857"/>
    <w:rsid w:val="0020206E"/>
    <w:rsid w:val="0020794F"/>
    <w:rsid w:val="00320859"/>
    <w:rsid w:val="00436C20"/>
    <w:rsid w:val="004B73AB"/>
    <w:rsid w:val="004B7D77"/>
    <w:rsid w:val="005055E4"/>
    <w:rsid w:val="006135AF"/>
    <w:rsid w:val="006401BC"/>
    <w:rsid w:val="00675A5A"/>
    <w:rsid w:val="006B3ABC"/>
    <w:rsid w:val="006E62A6"/>
    <w:rsid w:val="00751FBC"/>
    <w:rsid w:val="008065C2"/>
    <w:rsid w:val="00864ED7"/>
    <w:rsid w:val="00926DB8"/>
    <w:rsid w:val="009A54A7"/>
    <w:rsid w:val="00AF1394"/>
    <w:rsid w:val="00BD03F4"/>
    <w:rsid w:val="00C050C9"/>
    <w:rsid w:val="00C55DC5"/>
    <w:rsid w:val="00CD54AE"/>
    <w:rsid w:val="00D16928"/>
    <w:rsid w:val="00D63D47"/>
    <w:rsid w:val="00E47153"/>
    <w:rsid w:val="00F54ABA"/>
    <w:rsid w:val="00F664A7"/>
    <w:rsid w:val="00F7363B"/>
    <w:rsid w:val="00FB70B4"/>
    <w:rsid w:val="00FE6492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FBC"/>
  </w:style>
  <w:style w:type="paragraph" w:styleId="Footer">
    <w:name w:val="footer"/>
    <w:basedOn w:val="Normal"/>
    <w:link w:val="FooterChar"/>
    <w:uiPriority w:val="99"/>
    <w:unhideWhenUsed/>
    <w:rsid w:val="0075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FBC"/>
  </w:style>
  <w:style w:type="paragraph" w:styleId="BalloonText">
    <w:name w:val="Balloon Text"/>
    <w:basedOn w:val="Normal"/>
    <w:link w:val="BalloonTextChar"/>
    <w:uiPriority w:val="99"/>
    <w:semiHidden/>
    <w:unhideWhenUsed/>
    <w:rsid w:val="0075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6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FBC"/>
  </w:style>
  <w:style w:type="paragraph" w:styleId="Footer">
    <w:name w:val="footer"/>
    <w:basedOn w:val="Normal"/>
    <w:link w:val="FooterChar"/>
    <w:uiPriority w:val="99"/>
    <w:unhideWhenUsed/>
    <w:rsid w:val="0075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FBC"/>
  </w:style>
  <w:style w:type="paragraph" w:styleId="BalloonText">
    <w:name w:val="Balloon Text"/>
    <w:basedOn w:val="Normal"/>
    <w:link w:val="BalloonTextChar"/>
    <w:uiPriority w:val="99"/>
    <w:semiHidden/>
    <w:unhideWhenUsed/>
    <w:rsid w:val="0075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F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6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EF14-F06F-0A46-BC0B-F552D9D5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322</Words>
  <Characters>1836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