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7B3A3" w14:textId="0DF02FC8" w:rsidR="00454249" w:rsidRPr="00492CCC" w:rsidRDefault="00454249" w:rsidP="00773B36">
      <w:pPr>
        <w:ind w:firstLine="720"/>
        <w:rPr>
          <w:rFonts w:cstheme="minorHAnsi"/>
        </w:rPr>
      </w:pPr>
    </w:p>
    <w:p w14:paraId="5265D16A" w14:textId="77777777" w:rsidR="00286AE0" w:rsidRPr="00492CCC" w:rsidRDefault="00286AE0" w:rsidP="00773B36">
      <w:pPr>
        <w:ind w:firstLine="720"/>
        <w:rPr>
          <w:rFonts w:cstheme="minorHAnsi"/>
        </w:rPr>
      </w:pPr>
    </w:p>
    <w:p w14:paraId="1E42E8C3" w14:textId="77777777" w:rsidR="00454249" w:rsidRPr="00492CCC" w:rsidRDefault="00454249" w:rsidP="00773B36">
      <w:pPr>
        <w:ind w:firstLine="720"/>
        <w:rPr>
          <w:rFonts w:cstheme="minorHAnsi"/>
        </w:rPr>
      </w:pPr>
    </w:p>
    <w:p w14:paraId="74E659AB" w14:textId="77777777" w:rsidR="00454249" w:rsidRPr="00492CCC" w:rsidRDefault="00454249" w:rsidP="00773B36">
      <w:pPr>
        <w:ind w:firstLine="720"/>
        <w:rPr>
          <w:rFonts w:cstheme="minorHAnsi"/>
        </w:rPr>
      </w:pPr>
    </w:p>
    <w:p w14:paraId="1605EA10" w14:textId="7BF12D6B" w:rsidR="005A1E29" w:rsidRPr="00492CCC" w:rsidRDefault="00454249" w:rsidP="005A1E29">
      <w:pPr>
        <w:pStyle w:val="Heading1"/>
      </w:pPr>
      <w:r w:rsidRPr="00492CCC">
        <w:t>“I Am a Change Agent”: A Mixed Methods Analysis of Students’ Social Justice Value Orientation in an Undergraduate Community Psychology Course</w:t>
      </w:r>
    </w:p>
    <w:p w14:paraId="2ACF196F" w14:textId="77777777" w:rsidR="00454249" w:rsidRPr="00492CCC" w:rsidRDefault="00454249" w:rsidP="00773B36">
      <w:pPr>
        <w:ind w:firstLine="720"/>
        <w:rPr>
          <w:rFonts w:cstheme="minorHAnsi"/>
        </w:rPr>
      </w:pPr>
    </w:p>
    <w:p w14:paraId="06FADC3C" w14:textId="4CB49238" w:rsidR="007811D7" w:rsidRPr="00492CCC" w:rsidRDefault="00454249" w:rsidP="00773B36">
      <w:pPr>
        <w:jc w:val="center"/>
        <w:rPr>
          <w:rFonts w:cstheme="minorHAnsi"/>
        </w:rPr>
      </w:pPr>
      <w:r w:rsidRPr="00492CCC">
        <w:rPr>
          <w:rFonts w:cstheme="minorHAnsi"/>
        </w:rPr>
        <w:t>Dawn X. Henderson</w:t>
      </w:r>
      <w:r w:rsidRPr="00492CCC">
        <w:rPr>
          <w:rFonts w:cstheme="minorHAnsi"/>
          <w:vertAlign w:val="superscript"/>
        </w:rPr>
        <w:t>1</w:t>
      </w:r>
      <w:r w:rsidRPr="00492CCC">
        <w:rPr>
          <w:rFonts w:cstheme="minorHAnsi"/>
        </w:rPr>
        <w:t>, Amber T. Majors</w:t>
      </w:r>
      <w:r w:rsidRPr="00492CCC">
        <w:rPr>
          <w:rFonts w:cstheme="minorHAnsi"/>
          <w:vertAlign w:val="superscript"/>
        </w:rPr>
        <w:t>2</w:t>
      </w:r>
      <w:r w:rsidRPr="00492CCC">
        <w:rPr>
          <w:rFonts w:cstheme="minorHAnsi"/>
        </w:rPr>
        <w:t>, and Michelle Wright</w:t>
      </w:r>
      <w:r w:rsidRPr="00492CCC">
        <w:rPr>
          <w:rFonts w:cstheme="minorHAnsi"/>
          <w:vertAlign w:val="superscript"/>
        </w:rPr>
        <w:t>3</w:t>
      </w:r>
    </w:p>
    <w:p w14:paraId="7927C4A4" w14:textId="249460BD" w:rsidR="00454249" w:rsidRPr="00492CCC" w:rsidRDefault="00454249" w:rsidP="00773B36">
      <w:pPr>
        <w:jc w:val="center"/>
        <w:rPr>
          <w:rFonts w:cstheme="minorHAnsi"/>
        </w:rPr>
      </w:pPr>
      <w:r w:rsidRPr="00492CCC">
        <w:rPr>
          <w:rFonts w:cstheme="minorHAnsi"/>
          <w:vertAlign w:val="superscript"/>
        </w:rPr>
        <w:t>1</w:t>
      </w:r>
      <w:r w:rsidRPr="00492CCC">
        <w:rPr>
          <w:rFonts w:cstheme="minorHAnsi"/>
        </w:rPr>
        <w:t xml:space="preserve"> Center for Faculty Excellence, University of North Carolina at Chapel Hill</w:t>
      </w:r>
    </w:p>
    <w:p w14:paraId="6B4FF066" w14:textId="721489DF" w:rsidR="00454249" w:rsidRPr="00492CCC" w:rsidRDefault="00454249" w:rsidP="00773B36">
      <w:pPr>
        <w:jc w:val="center"/>
        <w:rPr>
          <w:rFonts w:cstheme="minorHAnsi"/>
        </w:rPr>
      </w:pPr>
      <w:r w:rsidRPr="00492CCC">
        <w:rPr>
          <w:rFonts w:cstheme="minorHAnsi"/>
          <w:vertAlign w:val="superscript"/>
        </w:rPr>
        <w:t xml:space="preserve">2 </w:t>
      </w:r>
      <w:r w:rsidRPr="00492CCC">
        <w:rPr>
          <w:rFonts w:cstheme="minorHAnsi"/>
        </w:rPr>
        <w:t>Peabody School of Education, University of North Carolina at Chapel Hill</w:t>
      </w:r>
    </w:p>
    <w:p w14:paraId="6094CB81" w14:textId="18BC01E1" w:rsidR="00454249" w:rsidRPr="00492CCC" w:rsidRDefault="00454249" w:rsidP="00773B36">
      <w:pPr>
        <w:jc w:val="center"/>
        <w:rPr>
          <w:rFonts w:cstheme="minorHAnsi"/>
        </w:rPr>
      </w:pPr>
      <w:r w:rsidRPr="00492CCC">
        <w:rPr>
          <w:rFonts w:cstheme="minorHAnsi"/>
          <w:vertAlign w:val="superscript"/>
        </w:rPr>
        <w:t>3</w:t>
      </w:r>
      <w:r w:rsidRPr="00492CCC">
        <w:rPr>
          <w:rFonts w:cstheme="minorHAnsi"/>
        </w:rPr>
        <w:t xml:space="preserve"> College of Education, North Carolina A&amp;T State University</w:t>
      </w:r>
    </w:p>
    <w:p w14:paraId="68EB2585" w14:textId="200B58ED" w:rsidR="00454249" w:rsidRPr="00492CCC" w:rsidRDefault="00454249" w:rsidP="00773B36">
      <w:pPr>
        <w:ind w:firstLine="720"/>
        <w:rPr>
          <w:rFonts w:cstheme="minorHAnsi"/>
        </w:rPr>
      </w:pPr>
    </w:p>
    <w:p w14:paraId="26F16EEA" w14:textId="77777777" w:rsidR="00454249" w:rsidRPr="00492CCC" w:rsidRDefault="00454249" w:rsidP="00773B36">
      <w:pPr>
        <w:ind w:firstLine="720"/>
        <w:rPr>
          <w:rFonts w:cstheme="minorHAnsi"/>
        </w:rPr>
      </w:pPr>
    </w:p>
    <w:p w14:paraId="279E1D71" w14:textId="77777777" w:rsidR="00454249" w:rsidRPr="00492CCC" w:rsidRDefault="00454249" w:rsidP="00773B36">
      <w:pPr>
        <w:ind w:firstLine="720"/>
        <w:rPr>
          <w:rFonts w:cstheme="minorHAnsi"/>
        </w:rPr>
      </w:pPr>
    </w:p>
    <w:p w14:paraId="276BD67F" w14:textId="7235AB90" w:rsidR="00454249" w:rsidRPr="00492CCC" w:rsidRDefault="00454249" w:rsidP="00773B36">
      <w:pPr>
        <w:ind w:firstLine="720"/>
        <w:rPr>
          <w:rFonts w:cstheme="minorHAnsi"/>
        </w:rPr>
      </w:pPr>
    </w:p>
    <w:p w14:paraId="1003A3B5" w14:textId="77777777" w:rsidR="003D52AE" w:rsidRPr="00492CCC" w:rsidRDefault="003D52AE" w:rsidP="00773B36">
      <w:pPr>
        <w:ind w:firstLine="720"/>
        <w:rPr>
          <w:rFonts w:cstheme="minorHAnsi"/>
        </w:rPr>
      </w:pPr>
    </w:p>
    <w:p w14:paraId="6E5F4E5E" w14:textId="6E0A97BB" w:rsidR="00454249" w:rsidRPr="00492CCC" w:rsidRDefault="00454249" w:rsidP="00B66443">
      <w:pPr>
        <w:pStyle w:val="Heading1"/>
      </w:pPr>
      <w:r w:rsidRPr="00492CCC">
        <w:t>Author Note</w:t>
      </w:r>
    </w:p>
    <w:p w14:paraId="794F2ABF" w14:textId="326DA4A8" w:rsidR="00454249" w:rsidRPr="00492CCC" w:rsidRDefault="00454249" w:rsidP="00773B36">
      <w:pPr>
        <w:ind w:firstLine="720"/>
        <w:rPr>
          <w:rFonts w:cstheme="minorHAnsi"/>
        </w:rPr>
      </w:pPr>
      <w:r w:rsidRPr="00492CCC">
        <w:rPr>
          <w:rFonts w:cstheme="minorHAnsi"/>
        </w:rPr>
        <w:t>Dawn X. Henderson</w:t>
      </w:r>
      <w:r w:rsidR="00C51321" w:rsidRPr="00492CCC">
        <w:rPr>
          <w:rFonts w:cstheme="minorHAnsi"/>
        </w:rPr>
        <w:t xml:space="preserve"> </w:t>
      </w:r>
      <w:r w:rsidR="00C51321" w:rsidRPr="00492CCC">
        <w:rPr>
          <w:rFonts w:cs="Noto Sans"/>
          <w:noProof/>
          <w:color w:val="A6CE39"/>
          <w:shd w:val="clear" w:color="auto" w:fill="FFFFFF"/>
        </w:rPr>
        <w:drawing>
          <wp:inline distT="0" distB="0" distL="0" distR="0" wp14:anchorId="5FE32C0F" wp14:editId="291E1344">
            <wp:extent cx="152400" cy="152400"/>
            <wp:effectExtent l="0" t="0" r="0" b="0"/>
            <wp:docPr id="2" name="Pict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326C8F" w:rsidRPr="00492CCC">
        <w:rPr>
          <w:rFonts w:cstheme="minorHAnsi"/>
        </w:rPr>
        <w:t xml:space="preserve"> </w:t>
      </w:r>
      <w:hyperlink r:id="rId9" w:history="1">
        <w:r w:rsidR="00326C8F" w:rsidRPr="00492CCC">
          <w:rPr>
            <w:rStyle w:val="Hyperlink"/>
            <w:rFonts w:cstheme="minorHAnsi"/>
          </w:rPr>
          <w:t>https://orcid.org/0000-0002-9773-4208</w:t>
        </w:r>
      </w:hyperlink>
      <w:r w:rsidR="00C51321" w:rsidRPr="00492CCC">
        <w:rPr>
          <w:rFonts w:cstheme="minorHAnsi"/>
        </w:rPr>
        <w:t xml:space="preserve"> </w:t>
      </w:r>
    </w:p>
    <w:p w14:paraId="646EC173" w14:textId="5D385C9E" w:rsidR="00454249" w:rsidRPr="00492CCC" w:rsidRDefault="00454249" w:rsidP="00773B36">
      <w:pPr>
        <w:ind w:firstLine="720"/>
        <w:rPr>
          <w:rFonts w:cstheme="minorHAnsi"/>
        </w:rPr>
      </w:pPr>
      <w:r w:rsidRPr="00492CCC">
        <w:rPr>
          <w:rFonts w:cstheme="minorHAnsi"/>
        </w:rPr>
        <w:t>Individuals can access a full description of the course syllabi, data files</w:t>
      </w:r>
      <w:r w:rsidR="00067B87" w:rsidRPr="00492CCC">
        <w:rPr>
          <w:rFonts w:cstheme="minorHAnsi"/>
        </w:rPr>
        <w:t>,</w:t>
      </w:r>
      <w:r w:rsidRPr="00492CCC">
        <w:rPr>
          <w:rFonts w:cstheme="minorHAnsi"/>
        </w:rPr>
        <w:t xml:space="preserve"> and supplemental data through the Open Science Framework website</w:t>
      </w:r>
      <w:r w:rsidR="00067B87" w:rsidRPr="00492CCC">
        <w:rPr>
          <w:rFonts w:cstheme="minorHAnsi"/>
        </w:rPr>
        <w:t xml:space="preserve"> (</w:t>
      </w:r>
      <w:hyperlink r:id="rId10" w:history="1">
        <w:r w:rsidR="00067B87" w:rsidRPr="00492CCC">
          <w:rPr>
            <w:rStyle w:val="Hyperlink"/>
            <w:rFonts w:cstheme="minorHAnsi"/>
          </w:rPr>
          <w:t>https://osf.io/dashboard</w:t>
        </w:r>
      </w:hyperlink>
      <w:r w:rsidR="00067B87" w:rsidRPr="00492CCC">
        <w:rPr>
          <w:rFonts w:cstheme="minorHAnsi"/>
        </w:rPr>
        <w:t>)</w:t>
      </w:r>
      <w:r w:rsidRPr="00492CCC">
        <w:rPr>
          <w:rFonts w:cstheme="minorHAnsi"/>
        </w:rPr>
        <w:t xml:space="preserve">. We have no conflicts of interest to disclose. </w:t>
      </w:r>
    </w:p>
    <w:p w14:paraId="5FD7FA5C" w14:textId="3E695465" w:rsidR="00454249" w:rsidRPr="00492CCC" w:rsidRDefault="00454249" w:rsidP="00773B36">
      <w:pPr>
        <w:tabs>
          <w:tab w:val="left" w:pos="2160"/>
        </w:tabs>
        <w:ind w:firstLine="720"/>
        <w:rPr>
          <w:rFonts w:cstheme="minorHAnsi"/>
        </w:rPr>
      </w:pPr>
      <w:r w:rsidRPr="00492CCC">
        <w:rPr>
          <w:rFonts w:cstheme="minorHAnsi"/>
        </w:rPr>
        <w:t>Correspondence concerning this article should be addressed to Dawn X. Henderson, Center for Faculty Excellence, University of North Carolina at Chapel Hill, 316 Wilson Library, CB#3470</w:t>
      </w:r>
      <w:r w:rsidR="00326C8F" w:rsidRPr="00492CCC">
        <w:rPr>
          <w:rFonts w:cstheme="minorHAnsi"/>
        </w:rPr>
        <w:t>,</w:t>
      </w:r>
      <w:r w:rsidRPr="00492CCC">
        <w:rPr>
          <w:rFonts w:cstheme="minorHAnsi"/>
        </w:rPr>
        <w:t xml:space="preserve"> Chapel Hill, NC 27599-3470</w:t>
      </w:r>
      <w:r w:rsidR="00AD0D41" w:rsidRPr="00492CCC">
        <w:rPr>
          <w:rFonts w:cstheme="minorHAnsi"/>
        </w:rPr>
        <w:t>, United States</w:t>
      </w:r>
      <w:r w:rsidRPr="00492CCC">
        <w:rPr>
          <w:rFonts w:cstheme="minorHAnsi"/>
        </w:rPr>
        <w:t xml:space="preserve">. Email: </w:t>
      </w:r>
      <w:hyperlink r:id="rId11" w:history="1">
        <w:r w:rsidR="00326C8F" w:rsidRPr="00492CCC">
          <w:rPr>
            <w:rStyle w:val="Hyperlink"/>
            <w:rFonts w:cstheme="minorHAnsi"/>
          </w:rPr>
          <w:t>dxhender@institution.edu</w:t>
        </w:r>
      </w:hyperlink>
      <w:r w:rsidR="00C51321" w:rsidRPr="00492CCC">
        <w:rPr>
          <w:rFonts w:cstheme="minorHAnsi"/>
        </w:rPr>
        <w:t xml:space="preserve"> </w:t>
      </w:r>
      <w:r w:rsidRPr="00492CCC">
        <w:rPr>
          <w:rFonts w:cstheme="minorHAnsi"/>
        </w:rPr>
        <w:br w:type="page"/>
      </w:r>
    </w:p>
    <w:p w14:paraId="32E6E1FF" w14:textId="3F2F0101" w:rsidR="00454249" w:rsidRPr="00492CCC" w:rsidRDefault="00454249" w:rsidP="00B66443">
      <w:pPr>
        <w:pStyle w:val="Heading1"/>
      </w:pPr>
      <w:r w:rsidRPr="00492CCC">
        <w:lastRenderedPageBreak/>
        <w:t>Abstract</w:t>
      </w:r>
    </w:p>
    <w:p w14:paraId="33D1B086" w14:textId="2DCDF192" w:rsidR="00454249" w:rsidRPr="00492CCC" w:rsidRDefault="00454249" w:rsidP="00773B36">
      <w:pPr>
        <w:rPr>
          <w:rFonts w:cstheme="minorHAnsi"/>
        </w:rPr>
      </w:pPr>
      <w:r w:rsidRPr="00492CCC">
        <w:rPr>
          <w:rFonts w:cstheme="minorHAnsi"/>
          <w:color w:val="231F20"/>
        </w:rPr>
        <w:t>Learning experiences that connect students to communities and provide them with</w:t>
      </w:r>
      <w:r w:rsidR="006B26A1" w:rsidRPr="00492CCC">
        <w:rPr>
          <w:rFonts w:cstheme="minorHAnsi"/>
          <w:color w:val="231F20"/>
        </w:rPr>
        <w:t xml:space="preserve"> </w:t>
      </w:r>
      <w:r w:rsidRPr="00492CCC">
        <w:rPr>
          <w:rFonts w:cstheme="minorHAnsi"/>
          <w:color w:val="231F20"/>
        </w:rPr>
        <w:t>opportunities to reflect and apply theories to real-world challenges can promote a value orientation toward social justice. This study use</w:t>
      </w:r>
      <w:r w:rsidR="003B1055" w:rsidRPr="00492CCC">
        <w:rPr>
          <w:rFonts w:cstheme="minorHAnsi"/>
          <w:color w:val="231F20"/>
        </w:rPr>
        <w:t xml:space="preserve">s </w:t>
      </w:r>
      <w:r w:rsidRPr="00492CCC">
        <w:rPr>
          <w:rFonts w:cstheme="minorHAnsi"/>
          <w:color w:val="231F20"/>
        </w:rPr>
        <w:t xml:space="preserve">a mixed methods design to investigate students’ value orientation toward social justice in an undergraduate community psychology course and the extent to which community engagement contributes to this orientation among a cross-sectional undergraduate sample of racially diverse students at a minority-serving institution. The analysis of outcomes collected across three different course offerings revealed </w:t>
      </w:r>
      <w:r w:rsidR="00067B87" w:rsidRPr="00492CCC">
        <w:rPr>
          <w:rFonts w:cstheme="minorHAnsi"/>
          <w:color w:val="231F20"/>
        </w:rPr>
        <w:t xml:space="preserve">that </w:t>
      </w:r>
      <w:r w:rsidRPr="00492CCC">
        <w:rPr>
          <w:rFonts w:cstheme="minorHAnsi"/>
          <w:color w:val="231F20"/>
        </w:rPr>
        <w:t>students enrolled in the course possessed a more favorable orientation toward social justice (</w:t>
      </w:r>
      <w:proofErr w:type="spellStart"/>
      <w:r w:rsidRPr="00492CCC">
        <w:rPr>
          <w:rFonts w:cstheme="minorHAnsi"/>
          <w:i/>
          <w:color w:val="231F20"/>
        </w:rPr>
        <w:t>Mdn</w:t>
      </w:r>
      <w:proofErr w:type="spellEnd"/>
      <w:r w:rsidRPr="00492CCC">
        <w:rPr>
          <w:rFonts w:cstheme="minorHAnsi"/>
          <w:i/>
          <w:color w:val="231F20"/>
        </w:rPr>
        <w:t xml:space="preserve"> </w:t>
      </w:r>
      <w:r w:rsidRPr="00492CCC">
        <w:rPr>
          <w:rFonts w:cstheme="minorHAnsi"/>
          <w:color w:val="231F20"/>
        </w:rPr>
        <w:t>= 150.00)</w:t>
      </w:r>
      <w:r w:rsidR="00067B87" w:rsidRPr="00492CCC">
        <w:rPr>
          <w:rFonts w:cstheme="minorHAnsi"/>
          <w:color w:val="231F20"/>
        </w:rPr>
        <w:t xml:space="preserve"> </w:t>
      </w:r>
      <w:r w:rsidRPr="00492CCC">
        <w:rPr>
          <w:rFonts w:cstheme="minorHAnsi"/>
          <w:color w:val="231F20"/>
        </w:rPr>
        <w:t>and</w:t>
      </w:r>
      <w:r w:rsidR="00326C8F" w:rsidRPr="00492CCC">
        <w:rPr>
          <w:rFonts w:cstheme="minorHAnsi"/>
          <w:color w:val="231F20"/>
        </w:rPr>
        <w:t xml:space="preserve"> that</w:t>
      </w:r>
      <w:r w:rsidRPr="00492CCC">
        <w:rPr>
          <w:rFonts w:cstheme="minorHAnsi"/>
          <w:color w:val="231F20"/>
        </w:rPr>
        <w:t xml:space="preserve"> the course had subtle effects in improving this orientation (</w:t>
      </w:r>
      <w:proofErr w:type="spellStart"/>
      <w:r w:rsidRPr="00492CCC">
        <w:rPr>
          <w:rFonts w:cstheme="minorHAnsi"/>
          <w:i/>
          <w:color w:val="231F20"/>
        </w:rPr>
        <w:t>Mdn</w:t>
      </w:r>
      <w:proofErr w:type="spellEnd"/>
      <w:r w:rsidRPr="00492CCC">
        <w:rPr>
          <w:rFonts w:cstheme="minorHAnsi"/>
          <w:i/>
          <w:color w:val="231F20"/>
        </w:rPr>
        <w:t xml:space="preserve"> </w:t>
      </w:r>
      <w:r w:rsidRPr="00492CCC">
        <w:rPr>
          <w:rFonts w:cstheme="minorHAnsi"/>
          <w:color w:val="231F20"/>
        </w:rPr>
        <w:t>= 152.32</w:t>
      </w:r>
      <w:r w:rsidR="00326C8F" w:rsidRPr="00492CCC">
        <w:rPr>
          <w:rFonts w:cstheme="minorHAnsi"/>
          <w:color w:val="231F20"/>
        </w:rPr>
        <w:t>,</w:t>
      </w:r>
      <w:r w:rsidRPr="00492CCC">
        <w:rPr>
          <w:rFonts w:cstheme="minorHAnsi"/>
          <w:color w:val="231F20"/>
        </w:rPr>
        <w:t xml:space="preserve"> </w:t>
      </w:r>
      <w:r w:rsidRPr="00492CCC">
        <w:rPr>
          <w:rFonts w:cstheme="minorHAnsi"/>
          <w:i/>
          <w:color w:val="231F20"/>
        </w:rPr>
        <w:t xml:space="preserve">Z </w:t>
      </w:r>
      <w:r w:rsidRPr="00492CCC">
        <w:rPr>
          <w:rFonts w:cstheme="minorHAnsi"/>
          <w:color w:val="231F20"/>
        </w:rPr>
        <w:t xml:space="preserve">= </w:t>
      </w:r>
      <w:r w:rsidR="00326C8F" w:rsidRPr="00492CCC">
        <w:rPr>
          <w:rFonts w:cstheme="minorHAnsi"/>
          <w:color w:val="231F20"/>
        </w:rPr>
        <w:t>−</w:t>
      </w:r>
      <w:r w:rsidRPr="00492CCC">
        <w:rPr>
          <w:rFonts w:cstheme="minorHAnsi"/>
          <w:color w:val="231F20"/>
        </w:rPr>
        <w:t xml:space="preserve">1.73, </w:t>
      </w:r>
      <w:r w:rsidRPr="00492CCC">
        <w:rPr>
          <w:rFonts w:cstheme="minorHAnsi"/>
          <w:i/>
          <w:color w:val="231F20"/>
        </w:rPr>
        <w:t xml:space="preserve">p </w:t>
      </w:r>
      <w:r w:rsidRPr="00492CCC">
        <w:rPr>
          <w:rFonts w:cstheme="minorHAnsi"/>
          <w:color w:val="231F20"/>
        </w:rPr>
        <w:t xml:space="preserve">= .08, </w:t>
      </w:r>
      <w:r w:rsidRPr="00492CCC">
        <w:rPr>
          <w:rFonts w:cstheme="minorHAnsi"/>
          <w:i/>
          <w:color w:val="231F20"/>
        </w:rPr>
        <w:t xml:space="preserve">r </w:t>
      </w:r>
      <w:r w:rsidRPr="00492CCC">
        <w:rPr>
          <w:rFonts w:cstheme="minorHAnsi"/>
          <w:color w:val="231F20"/>
        </w:rPr>
        <w:t>=</w:t>
      </w:r>
      <w:r w:rsidR="00326C8F" w:rsidRPr="00492CCC">
        <w:rPr>
          <w:rFonts w:cstheme="minorHAnsi"/>
          <w:color w:val="231F20"/>
        </w:rPr>
        <w:t xml:space="preserve"> −.</w:t>
      </w:r>
      <w:r w:rsidRPr="00492CCC">
        <w:rPr>
          <w:rFonts w:cstheme="minorHAnsi"/>
          <w:color w:val="231F20"/>
        </w:rPr>
        <w:t>22</w:t>
      </w:r>
      <w:r w:rsidR="00326C8F" w:rsidRPr="00492CCC">
        <w:rPr>
          <w:rFonts w:cstheme="minorHAnsi"/>
          <w:color w:val="231F20"/>
        </w:rPr>
        <w:t>)</w:t>
      </w:r>
      <w:r w:rsidR="00067B87" w:rsidRPr="00492CCC">
        <w:rPr>
          <w:rFonts w:cstheme="minorHAnsi"/>
          <w:color w:val="231F20"/>
        </w:rPr>
        <w:t>. A</w:t>
      </w:r>
      <w:r w:rsidRPr="00492CCC">
        <w:rPr>
          <w:rFonts w:cstheme="minorHAnsi"/>
          <w:color w:val="231F20"/>
        </w:rPr>
        <w:t xml:space="preserve">n analysis of students’ value orientation across each course offering revealed a significant between-course effect, </w:t>
      </w:r>
      <w:proofErr w:type="gramStart"/>
      <w:r w:rsidRPr="00492CCC">
        <w:rPr>
          <w:rFonts w:cstheme="minorHAnsi"/>
          <w:i/>
          <w:color w:val="231F20"/>
        </w:rPr>
        <w:t>H</w:t>
      </w:r>
      <w:r w:rsidRPr="00492CCC">
        <w:rPr>
          <w:rFonts w:cstheme="minorHAnsi"/>
          <w:color w:val="231F20"/>
        </w:rPr>
        <w:t>(</w:t>
      </w:r>
      <w:proofErr w:type="gramEnd"/>
      <w:r w:rsidRPr="00492CCC">
        <w:rPr>
          <w:rFonts w:cstheme="minorHAnsi"/>
          <w:color w:val="231F20"/>
        </w:rPr>
        <w:t xml:space="preserve">2) = 5.86, </w:t>
      </w:r>
      <w:r w:rsidRPr="00492CCC">
        <w:rPr>
          <w:rFonts w:cstheme="minorHAnsi"/>
          <w:i/>
          <w:color w:val="231F20"/>
        </w:rPr>
        <w:t xml:space="preserve">p </w:t>
      </w:r>
      <w:r w:rsidRPr="00492CCC">
        <w:rPr>
          <w:rFonts w:cstheme="minorHAnsi"/>
          <w:color w:val="231F20"/>
        </w:rPr>
        <w:t>=</w:t>
      </w:r>
      <w:r w:rsidR="00C51321" w:rsidRPr="00492CCC">
        <w:rPr>
          <w:rFonts w:cstheme="minorHAnsi"/>
        </w:rPr>
        <w:t xml:space="preserve"> </w:t>
      </w:r>
      <w:r w:rsidRPr="00492CCC">
        <w:rPr>
          <w:rFonts w:cstheme="minorHAnsi"/>
          <w:color w:val="231F20"/>
        </w:rPr>
        <w:t xml:space="preserve">.05. Students enrolled in courses with </w:t>
      </w:r>
      <w:r w:rsidR="00067B87" w:rsidRPr="00492CCC">
        <w:rPr>
          <w:rFonts w:cstheme="minorHAnsi"/>
          <w:color w:val="231F20"/>
        </w:rPr>
        <w:t xml:space="preserve">an </w:t>
      </w:r>
      <w:r w:rsidRPr="00492CCC">
        <w:rPr>
          <w:rFonts w:cstheme="minorHAnsi"/>
          <w:color w:val="231F20"/>
        </w:rPr>
        <w:t>emphasis on completing the community engagement assignment in a group demonstrated a more positive value orientation. Qualitative findings further explicate how the course increased students’ awareness of social inequalities and, for some,</w:t>
      </w:r>
      <w:r w:rsidR="003B1055" w:rsidRPr="00492CCC">
        <w:rPr>
          <w:rFonts w:cstheme="minorHAnsi"/>
          <w:color w:val="231F20"/>
        </w:rPr>
        <w:t xml:space="preserve"> their</w:t>
      </w:r>
      <w:r w:rsidRPr="00492CCC">
        <w:rPr>
          <w:rFonts w:cstheme="minorHAnsi"/>
          <w:color w:val="231F20"/>
        </w:rPr>
        <w:t xml:space="preserve"> social justice behaviors.</w:t>
      </w:r>
    </w:p>
    <w:p w14:paraId="26C51416" w14:textId="0FE69426" w:rsidR="00454249" w:rsidRPr="00492CCC" w:rsidRDefault="00454249" w:rsidP="00773B36">
      <w:pPr>
        <w:ind w:firstLine="720"/>
        <w:rPr>
          <w:rFonts w:cstheme="minorHAnsi"/>
          <w:color w:val="231F20"/>
        </w:rPr>
      </w:pPr>
      <w:r w:rsidRPr="00492CCC">
        <w:rPr>
          <w:rFonts w:cstheme="minorHAnsi"/>
          <w:i/>
          <w:color w:val="231F20"/>
        </w:rPr>
        <w:t xml:space="preserve">Keywords: </w:t>
      </w:r>
      <w:r w:rsidRPr="00492CCC">
        <w:rPr>
          <w:rFonts w:cstheme="minorHAnsi"/>
          <w:color w:val="231F20"/>
        </w:rPr>
        <w:t>social justice, undergraduate education, community psychology</w:t>
      </w:r>
      <w:r w:rsidR="003B1055" w:rsidRPr="00492CCC">
        <w:rPr>
          <w:rFonts w:cstheme="minorHAnsi"/>
          <w:color w:val="231F20"/>
        </w:rPr>
        <w:t>, value orientation</w:t>
      </w:r>
    </w:p>
    <w:p w14:paraId="0E1BA8E0" w14:textId="77777777" w:rsidR="00454249" w:rsidRPr="00492CCC" w:rsidRDefault="00454249" w:rsidP="00773B36">
      <w:pPr>
        <w:ind w:firstLine="720"/>
        <w:rPr>
          <w:rFonts w:cstheme="minorHAnsi"/>
          <w:color w:val="231F20"/>
        </w:rPr>
      </w:pPr>
      <w:r w:rsidRPr="00492CCC">
        <w:rPr>
          <w:rFonts w:cstheme="minorHAnsi"/>
          <w:color w:val="231F20"/>
        </w:rPr>
        <w:br w:type="page"/>
      </w:r>
    </w:p>
    <w:p w14:paraId="562A58EA" w14:textId="77777777" w:rsidR="00454249" w:rsidRPr="00492CCC" w:rsidRDefault="00454249" w:rsidP="00773B36">
      <w:pPr>
        <w:pStyle w:val="Heading1"/>
      </w:pPr>
      <w:r w:rsidRPr="00492CCC">
        <w:lastRenderedPageBreak/>
        <w:t>“I Am a Change Agent”: A Mixed Methods Analysis of Students’ Social Justice Value Orientation in an Undergraduate Community Psychology Course</w:t>
      </w:r>
    </w:p>
    <w:p w14:paraId="2C371264" w14:textId="501DD4CD" w:rsidR="00067B87" w:rsidRPr="00492CCC" w:rsidRDefault="00454249" w:rsidP="00492CCC">
      <w:pPr>
        <w:pStyle w:val="BodyText"/>
      </w:pPr>
      <w:r w:rsidRPr="00492CCC">
        <w:t>Working with diverse individuals across different communities to solve problems is a worthwhile learning experience for students in the undergraduate psychology major (</w:t>
      </w:r>
      <w:proofErr w:type="spellStart"/>
      <w:r w:rsidRPr="00492CCC">
        <w:t>Gallor</w:t>
      </w:r>
      <w:proofErr w:type="spellEnd"/>
      <w:r w:rsidRPr="00492CCC">
        <w:t xml:space="preserve">, 2017). According to the American Psychological Association’s (2013) guidelines for undergraduate education, students should be able to “adopt values that build community at local, national, and global levels” (p. 16). Theoretically, a student who completes an undergraduate major in psychology should possess personal and professional values that respect sociocultural diversity and honor positive community relationships. </w:t>
      </w:r>
    </w:p>
    <w:p w14:paraId="7537A3A5" w14:textId="189E2CE5" w:rsidR="00454249" w:rsidRPr="00492CCC" w:rsidRDefault="00454249" w:rsidP="00492CCC">
      <w:pPr>
        <w:pStyle w:val="BodyText"/>
      </w:pPr>
      <w:r w:rsidRPr="00492CCC">
        <w:t xml:space="preserve">Offering an undergraduate community psychology course to students may be one way to strengthen community engagement and build competence in advocacy and sociocultural diversity. The emergence of community psychology as a subfield in psychology in the 1960s and its emphasis on ecological principles, prevention, and systems change (Nelson &amp; Prilleltensky, 2010) provides an opportunity for undergraduate students to gain experience in applied research and a new perspective of psychology </w:t>
      </w:r>
      <w:hyperlink w:anchor="_bookmark33" w:history="1">
        <w:r w:rsidRPr="00492CCC">
          <w:t>(Hen</w:t>
        </w:r>
      </w:hyperlink>
      <w:r w:rsidRPr="00492CCC">
        <w:t>derson &amp; Wright, 2015; Jimenez</w:t>
      </w:r>
      <w:r w:rsidR="00C51321" w:rsidRPr="00492CCC">
        <w:t xml:space="preserve"> et al.</w:t>
      </w:r>
      <w:r w:rsidRPr="00492CCC">
        <w:t>, 2016; Lichty</w:t>
      </w:r>
      <w:r w:rsidR="00C51321" w:rsidRPr="00492CCC">
        <w:t xml:space="preserve"> et al.</w:t>
      </w:r>
      <w:r w:rsidRPr="00492CCC">
        <w:t xml:space="preserve">, 2019; </w:t>
      </w:r>
      <w:proofErr w:type="spellStart"/>
      <w:r w:rsidRPr="00492CCC">
        <w:t>Schlehofer</w:t>
      </w:r>
      <w:proofErr w:type="spellEnd"/>
      <w:r w:rsidRPr="00492CCC">
        <w:t xml:space="preserve"> &amp; Phillips, 2013). Furthermore, the field’s broad focus on understanding interactions between systems and individuals and the degree to which systems interfere or promote well-being (Society for Community Research </w:t>
      </w:r>
      <w:r w:rsidR="00355A94" w:rsidRPr="00492CCC">
        <w:t>and</w:t>
      </w:r>
      <w:r w:rsidRPr="00492CCC">
        <w:t xml:space="preserve"> Action, </w:t>
      </w:r>
      <w:hyperlink w:anchor="_bookmark62" w:history="1">
        <w:r w:rsidRPr="00492CCC">
          <w:t xml:space="preserve">2019) </w:t>
        </w:r>
      </w:hyperlink>
      <w:r w:rsidRPr="00492CCC">
        <w:t>may be particularly valuable to students who possess a more favorable value orientation toward social justice.</w:t>
      </w:r>
    </w:p>
    <w:p w14:paraId="728DEC58" w14:textId="0AF7E36B" w:rsidR="00454249" w:rsidRPr="00492CCC" w:rsidRDefault="00454249" w:rsidP="00492CCC">
      <w:pPr>
        <w:pStyle w:val="BodyText"/>
      </w:pPr>
      <w:r w:rsidRPr="00492CCC">
        <w:t xml:space="preserve">Aligning learning to the value orientation of students may be an essential process in helping to increase the retention of racially diverse students in the psychology major and the graduate pipeline. According to Garibay (2015), racially diverse students are more likely to express working for social change as important to their choice of major and career interests. Unfortunately, the degree to which research on the scholarship of teaching and learning has focused on the value </w:t>
      </w:r>
      <w:r w:rsidRPr="00492CCC">
        <w:lastRenderedPageBreak/>
        <w:t xml:space="preserve">orientation of racially diverse students and the benefits of community engagement on students’ learning </w:t>
      </w:r>
      <w:proofErr w:type="gramStart"/>
      <w:r w:rsidRPr="00492CCC">
        <w:t>remains</w:t>
      </w:r>
      <w:proofErr w:type="gramEnd"/>
      <w:r w:rsidRPr="00492CCC">
        <w:t xml:space="preserve"> underdeveloped. This study seeks to address this current gap </w:t>
      </w:r>
      <w:r w:rsidR="003B1055" w:rsidRPr="00492CCC">
        <w:t>by</w:t>
      </w:r>
      <w:r w:rsidRPr="00492CCC">
        <w:t xml:space="preserve"> us</w:t>
      </w:r>
      <w:r w:rsidR="003B1055" w:rsidRPr="00492CCC">
        <w:t>ing</w:t>
      </w:r>
      <w:r w:rsidRPr="00492CCC">
        <w:t xml:space="preserve"> a mixed methods design to assess the following research questions:</w:t>
      </w:r>
    </w:p>
    <w:p w14:paraId="49B0F277" w14:textId="1AEED4D3" w:rsidR="00454249" w:rsidRPr="00492CCC" w:rsidRDefault="00454249" w:rsidP="00326C8F">
      <w:pPr>
        <w:pStyle w:val="BodyText"/>
        <w:numPr>
          <w:ilvl w:val="0"/>
          <w:numId w:val="3"/>
        </w:numPr>
        <w:rPr>
          <w:rFonts w:cstheme="minorHAnsi"/>
        </w:rPr>
      </w:pPr>
      <w:r w:rsidRPr="00492CCC">
        <w:rPr>
          <w:rFonts w:cstheme="minorHAnsi"/>
          <w:iCs/>
          <w:color w:val="231F20"/>
        </w:rPr>
        <w:t>Research Question 1:</w:t>
      </w:r>
      <w:r w:rsidRPr="00492CCC">
        <w:rPr>
          <w:rFonts w:cstheme="minorHAnsi"/>
          <w:i/>
          <w:color w:val="231F20"/>
        </w:rPr>
        <w:t xml:space="preserve"> </w:t>
      </w:r>
      <w:r w:rsidRPr="00492CCC">
        <w:rPr>
          <w:rFonts w:cstheme="minorHAnsi"/>
          <w:color w:val="231F20"/>
        </w:rPr>
        <w:t>Do racially diverse students who enroll in an undergraduate community psychology course possess a high-value orientation toward social justice?</w:t>
      </w:r>
    </w:p>
    <w:p w14:paraId="24529ADF" w14:textId="31F5A672" w:rsidR="00454249" w:rsidRPr="00492CCC" w:rsidRDefault="00454249" w:rsidP="00326C8F">
      <w:pPr>
        <w:pStyle w:val="BodyText"/>
        <w:numPr>
          <w:ilvl w:val="0"/>
          <w:numId w:val="3"/>
        </w:numPr>
        <w:rPr>
          <w:rFonts w:cstheme="minorHAnsi"/>
        </w:rPr>
      </w:pPr>
      <w:r w:rsidRPr="00492CCC">
        <w:rPr>
          <w:rFonts w:cstheme="minorHAnsi"/>
          <w:iCs/>
          <w:color w:val="231F20"/>
        </w:rPr>
        <w:t>Research Question 2:</w:t>
      </w:r>
      <w:r w:rsidRPr="00492CCC">
        <w:rPr>
          <w:rFonts w:cstheme="minorHAnsi"/>
          <w:i/>
          <w:color w:val="231F20"/>
        </w:rPr>
        <w:t xml:space="preserve"> </w:t>
      </w:r>
      <w:r w:rsidRPr="00492CCC">
        <w:rPr>
          <w:rFonts w:cstheme="minorHAnsi"/>
          <w:color w:val="231F20"/>
        </w:rPr>
        <w:t>Do racially diverse students who complete an undergraduate community psychology course demonstrate gains in their value orientation toward social justice?</w:t>
      </w:r>
    </w:p>
    <w:p w14:paraId="100C161C" w14:textId="2B634ACB" w:rsidR="00454249" w:rsidRPr="00492CCC" w:rsidRDefault="00454249" w:rsidP="00326C8F">
      <w:pPr>
        <w:pStyle w:val="BodyText"/>
        <w:numPr>
          <w:ilvl w:val="0"/>
          <w:numId w:val="3"/>
        </w:numPr>
        <w:rPr>
          <w:rFonts w:cstheme="minorHAnsi"/>
        </w:rPr>
      </w:pPr>
      <w:r w:rsidRPr="00492CCC">
        <w:rPr>
          <w:rFonts w:cstheme="minorHAnsi"/>
          <w:iCs/>
          <w:color w:val="231F20"/>
        </w:rPr>
        <w:t>Research Question 3:</w:t>
      </w:r>
      <w:r w:rsidRPr="00492CCC">
        <w:rPr>
          <w:rFonts w:cstheme="minorHAnsi"/>
          <w:i/>
          <w:color w:val="231F20"/>
        </w:rPr>
        <w:t xml:space="preserve"> </w:t>
      </w:r>
      <w:r w:rsidRPr="00492CCC">
        <w:rPr>
          <w:rFonts w:cstheme="minorHAnsi"/>
          <w:color w:val="231F20"/>
        </w:rPr>
        <w:t>Does the type of community engagement (individual vs. group) influence students’ value orientation toward social justice?</w:t>
      </w:r>
    </w:p>
    <w:p w14:paraId="651F88A4" w14:textId="55A71ABE" w:rsidR="00C51321" w:rsidRPr="00492CCC" w:rsidRDefault="00454249" w:rsidP="00492CCC">
      <w:pPr>
        <w:pStyle w:val="BodyText"/>
      </w:pPr>
      <w:r w:rsidRPr="00492CCC">
        <w:t>The discussion will center on the value community engagement offers to psychology students and, more specifically, racially diverse students.</w:t>
      </w:r>
    </w:p>
    <w:p w14:paraId="7DADB53F" w14:textId="5A40057E" w:rsidR="00454249" w:rsidRPr="00492CCC" w:rsidRDefault="00454249" w:rsidP="00773B36">
      <w:pPr>
        <w:pStyle w:val="Heading2"/>
      </w:pPr>
      <w:proofErr w:type="gramStart"/>
      <w:r w:rsidRPr="00492CCC">
        <w:t>A Value</w:t>
      </w:r>
      <w:proofErr w:type="gramEnd"/>
      <w:r w:rsidRPr="00492CCC">
        <w:t xml:space="preserve"> Orientation Toward Social Justice</w:t>
      </w:r>
    </w:p>
    <w:p w14:paraId="174C59D9" w14:textId="4F21D370" w:rsidR="00454249" w:rsidRPr="00492CCC" w:rsidRDefault="00454249" w:rsidP="00773B36">
      <w:pPr>
        <w:pStyle w:val="BodyText"/>
        <w:rPr>
          <w:rFonts w:cstheme="minorHAnsi"/>
        </w:rPr>
      </w:pPr>
      <w:r w:rsidRPr="00492CCC">
        <w:rPr>
          <w:rFonts w:cstheme="minorHAnsi"/>
          <w:color w:val="231F20"/>
        </w:rPr>
        <w:t>Individuals transition through different systems in their socioecology, to include the family and schools, and begin to construct meaning and develop a worldview (Betancourt</w:t>
      </w:r>
      <w:r w:rsidR="00C51321" w:rsidRPr="00492CCC">
        <w:rPr>
          <w:rFonts w:cstheme="minorHAnsi"/>
          <w:color w:val="231F20"/>
        </w:rPr>
        <w:t xml:space="preserve"> et al.</w:t>
      </w:r>
      <w:r w:rsidRPr="00492CCC">
        <w:rPr>
          <w:rFonts w:cstheme="minorHAnsi"/>
          <w:color w:val="231F20"/>
        </w:rPr>
        <w:t>, 1992; Lee</w:t>
      </w:r>
      <w:r w:rsidR="00C51321" w:rsidRPr="00492CCC">
        <w:rPr>
          <w:rFonts w:cstheme="minorHAnsi"/>
          <w:color w:val="231F20"/>
        </w:rPr>
        <w:t xml:space="preserve"> et al.</w:t>
      </w:r>
      <w:r w:rsidRPr="00492CCC">
        <w:rPr>
          <w:rFonts w:cstheme="minorHAnsi"/>
          <w:color w:val="231F20"/>
        </w:rPr>
        <w:t xml:space="preserve">, 2010). Interactions, messages, and observations of others inform how individuals develop their core beliefs and values (Betancourt </w:t>
      </w:r>
      <w:hyperlink w:anchor="_bookmark14" w:history="1">
        <w:r w:rsidRPr="00492CCC">
          <w:rPr>
            <w:rFonts w:cstheme="minorHAnsi"/>
            <w:color w:val="231F20"/>
          </w:rPr>
          <w:t xml:space="preserve">et al., 1992; </w:t>
        </w:r>
      </w:hyperlink>
      <w:r w:rsidRPr="00492CCC">
        <w:rPr>
          <w:rFonts w:cstheme="minorHAnsi"/>
          <w:color w:val="231F20"/>
        </w:rPr>
        <w:t xml:space="preserve">McClintock &amp; Allison, 1989; Messick &amp; McClintock, 1968). </w:t>
      </w:r>
      <w:r w:rsidR="00A07D13" w:rsidRPr="00492CCC">
        <w:rPr>
          <w:rFonts w:cstheme="minorHAnsi"/>
          <w:color w:val="231F20"/>
        </w:rPr>
        <w:t>v</w:t>
      </w:r>
      <w:r w:rsidRPr="00492CCC">
        <w:rPr>
          <w:rFonts w:cstheme="minorHAnsi"/>
          <w:color w:val="231F20"/>
        </w:rPr>
        <w:t xml:space="preserve">an </w:t>
      </w:r>
      <w:proofErr w:type="spellStart"/>
      <w:r w:rsidRPr="00492CCC">
        <w:rPr>
          <w:rFonts w:cstheme="minorHAnsi"/>
          <w:color w:val="231F20"/>
        </w:rPr>
        <w:t>Zomeren</w:t>
      </w:r>
      <w:proofErr w:type="spellEnd"/>
      <w:r w:rsidR="00C51321" w:rsidRPr="00492CCC">
        <w:rPr>
          <w:rFonts w:cstheme="minorHAnsi"/>
          <w:color w:val="231F20"/>
        </w:rPr>
        <w:t xml:space="preserve"> et al. </w:t>
      </w:r>
      <w:r w:rsidRPr="00492CCC">
        <w:rPr>
          <w:rFonts w:cstheme="minorHAnsi"/>
          <w:color w:val="231F20"/>
        </w:rPr>
        <w:t>(2008) articulated</w:t>
      </w:r>
      <w:r w:rsidR="00067B87" w:rsidRPr="00492CCC">
        <w:rPr>
          <w:rFonts w:cstheme="minorHAnsi"/>
          <w:color w:val="231F20"/>
        </w:rPr>
        <w:t xml:space="preserve"> how</w:t>
      </w:r>
      <w:r w:rsidRPr="00492CCC">
        <w:rPr>
          <w:rFonts w:cstheme="minorHAnsi"/>
          <w:color w:val="231F20"/>
        </w:rPr>
        <w:t xml:space="preserve"> the messages individuals receive from their environment as well as models observed from others can shape perceptions of group advantages and disadvantages. Such beliefs and related attitudes evolve into a value orientation and influence individual motivations and goal</w:t>
      </w:r>
      <w:r w:rsidR="00067B87" w:rsidRPr="00492CCC">
        <w:rPr>
          <w:rFonts w:cstheme="minorHAnsi"/>
          <w:color w:val="231F20"/>
        </w:rPr>
        <w:t xml:space="preserve"> </w:t>
      </w:r>
      <w:r w:rsidRPr="00492CCC">
        <w:rPr>
          <w:rFonts w:cstheme="minorHAnsi"/>
          <w:color w:val="231F20"/>
        </w:rPr>
        <w:t xml:space="preserve">attainment. According to Messick and McClintock (1968), most people will possess one of three types of value orientation: cooperative, individualistic, or competitive. Individuals who possess </w:t>
      </w:r>
      <w:proofErr w:type="gramStart"/>
      <w:r w:rsidRPr="00492CCC">
        <w:rPr>
          <w:rFonts w:cstheme="minorHAnsi"/>
          <w:color w:val="231F20"/>
        </w:rPr>
        <w:t>a cooperative</w:t>
      </w:r>
      <w:proofErr w:type="gramEnd"/>
      <w:r w:rsidRPr="00492CCC">
        <w:rPr>
          <w:rFonts w:cstheme="minorHAnsi"/>
          <w:color w:val="231F20"/>
        </w:rPr>
        <w:t xml:space="preserve"> value orientation are more likely to exhibit a high commitment to helping others and </w:t>
      </w:r>
      <w:r w:rsidR="00067B87" w:rsidRPr="00492CCC">
        <w:rPr>
          <w:rFonts w:cstheme="minorHAnsi"/>
          <w:color w:val="231F20"/>
        </w:rPr>
        <w:t xml:space="preserve">to </w:t>
      </w:r>
      <w:r w:rsidRPr="00492CCC">
        <w:rPr>
          <w:rFonts w:cstheme="minorHAnsi"/>
          <w:color w:val="231F20"/>
        </w:rPr>
        <w:t xml:space="preserve">set goals that align with the broader </w:t>
      </w:r>
      <w:r w:rsidRPr="00492CCC">
        <w:rPr>
          <w:rFonts w:cstheme="minorHAnsi"/>
          <w:color w:val="231F20"/>
        </w:rPr>
        <w:lastRenderedPageBreak/>
        <w:t>collective (McClintock &amp; Allison, 1989), whereas individual</w:t>
      </w:r>
      <w:r w:rsidR="006B26A1" w:rsidRPr="00492CCC">
        <w:rPr>
          <w:rFonts w:cstheme="minorHAnsi"/>
          <w:color w:val="231F20"/>
        </w:rPr>
        <w:t xml:space="preserve">s </w:t>
      </w:r>
      <w:r w:rsidRPr="00492CCC">
        <w:rPr>
          <w:rFonts w:cstheme="minorHAnsi"/>
          <w:color w:val="231F20"/>
        </w:rPr>
        <w:t xml:space="preserve">who adopt an individualistic orientation </w:t>
      </w:r>
      <w:r w:rsidR="006B26A1" w:rsidRPr="00492CCC">
        <w:rPr>
          <w:rFonts w:cstheme="minorHAnsi"/>
          <w:color w:val="231F20"/>
        </w:rPr>
        <w:t>are</w:t>
      </w:r>
      <w:r w:rsidRPr="00492CCC">
        <w:rPr>
          <w:rFonts w:cstheme="minorHAnsi"/>
          <w:color w:val="231F20"/>
        </w:rPr>
        <w:t xml:space="preserve"> more likely to value self-preservation and </w:t>
      </w:r>
      <w:r w:rsidR="00067B87" w:rsidRPr="00492CCC">
        <w:rPr>
          <w:rFonts w:cstheme="minorHAnsi"/>
          <w:color w:val="231F20"/>
        </w:rPr>
        <w:t xml:space="preserve">to </w:t>
      </w:r>
      <w:r w:rsidRPr="00492CCC">
        <w:rPr>
          <w:rFonts w:cstheme="minorHAnsi"/>
          <w:color w:val="231F20"/>
        </w:rPr>
        <w:t>focus on their needs over others (Murphy &amp; Ackermann, 2014). Experiences and interactions one may have across their socioecology can either affirm or challenge such values. Moreover, individuals are likely to actively seek those experiences that affirm such values. For instance, Caldwell and Vera’s (2010) qualitative study using a sample of doctoral counseling psychology students found that those who model</w:t>
      </w:r>
      <w:r w:rsidR="006B26A1" w:rsidRPr="00492CCC">
        <w:rPr>
          <w:rFonts w:cstheme="minorHAnsi"/>
          <w:color w:val="231F20"/>
        </w:rPr>
        <w:t>ed</w:t>
      </w:r>
      <w:r w:rsidRPr="00492CCC">
        <w:rPr>
          <w:rFonts w:cstheme="minorHAnsi"/>
          <w:color w:val="231F20"/>
        </w:rPr>
        <w:t xml:space="preserve"> cooperation over competition were more likely to engage in service-related activities and exhibit</w:t>
      </w:r>
      <w:r w:rsidR="006B26A1" w:rsidRPr="00492CCC">
        <w:rPr>
          <w:rFonts w:cstheme="minorHAnsi"/>
          <w:color w:val="231F20"/>
        </w:rPr>
        <w:t>ed</w:t>
      </w:r>
      <w:r w:rsidRPr="00492CCC">
        <w:rPr>
          <w:rFonts w:cstheme="minorHAnsi"/>
          <w:color w:val="231F20"/>
        </w:rPr>
        <w:t xml:space="preserve"> a high-value orientation toward social justice. Understanding a student’s value orientation can provide insight into motivations and interests in social justice work.</w:t>
      </w:r>
    </w:p>
    <w:p w14:paraId="520E6E22" w14:textId="43F35501" w:rsidR="00454249" w:rsidRPr="00492CCC" w:rsidRDefault="00454249" w:rsidP="00773B36">
      <w:pPr>
        <w:pStyle w:val="BodyText"/>
        <w:rPr>
          <w:rFonts w:cstheme="minorHAnsi"/>
        </w:rPr>
      </w:pPr>
      <w:r w:rsidRPr="00492CCC">
        <w:rPr>
          <w:rFonts w:cstheme="minorHAnsi"/>
          <w:color w:val="231F20"/>
        </w:rPr>
        <w:t>A value orientation toward social justice indicates a student is likely to possess an awareness of social disadvantages and express a value in working to improve well-being and justice for all people (</w:t>
      </w:r>
      <w:proofErr w:type="spellStart"/>
      <w:r w:rsidRPr="00492CCC">
        <w:rPr>
          <w:rFonts w:cstheme="minorHAnsi"/>
          <w:color w:val="231F20"/>
        </w:rPr>
        <w:t>Gallor</w:t>
      </w:r>
      <w:proofErr w:type="spellEnd"/>
      <w:r w:rsidRPr="00492CCC">
        <w:rPr>
          <w:rFonts w:cstheme="minorHAnsi"/>
          <w:color w:val="231F20"/>
        </w:rPr>
        <w:t>, 2017</w:t>
      </w:r>
      <w:r w:rsidR="00A2493A" w:rsidRPr="00492CCC">
        <w:rPr>
          <w:rFonts w:cstheme="minorHAnsi"/>
          <w:color w:val="231F20"/>
        </w:rPr>
        <w:t>;</w:t>
      </w:r>
      <w:r w:rsidRPr="00492CCC">
        <w:rPr>
          <w:rFonts w:cstheme="minorHAnsi"/>
          <w:color w:val="231F20"/>
        </w:rPr>
        <w:t xml:space="preserve"> Hardiman</w:t>
      </w:r>
      <w:r w:rsidR="00C51321" w:rsidRPr="00492CCC">
        <w:rPr>
          <w:rFonts w:cstheme="minorHAnsi"/>
          <w:color w:val="231F20"/>
        </w:rPr>
        <w:t xml:space="preserve"> et al.</w:t>
      </w:r>
      <w:r w:rsidRPr="00492CCC">
        <w:rPr>
          <w:rFonts w:cstheme="minorHAnsi"/>
          <w:color w:val="231F20"/>
        </w:rPr>
        <w:t>, 2007). Interactions with influential others (e.g., parents and peers), cultural beliefs, and institutions socialize individuals to develop an awareness of and unfavorable attitudes toward injustice (</w:t>
      </w:r>
      <w:proofErr w:type="spellStart"/>
      <w:r w:rsidRPr="00492CCC">
        <w:rPr>
          <w:rFonts w:cstheme="minorHAnsi"/>
          <w:color w:val="231F20"/>
        </w:rPr>
        <w:t>Einfeld</w:t>
      </w:r>
      <w:proofErr w:type="spellEnd"/>
      <w:r w:rsidRPr="00492CCC">
        <w:rPr>
          <w:rFonts w:cstheme="minorHAnsi"/>
          <w:color w:val="231F20"/>
        </w:rPr>
        <w:t xml:space="preserve"> &amp; Collins, 2008; Lee et al., 2010). Individuals who possess a value orientation toward social justice also develop such values from first-hand experiences and an affinity toward others (Caldwell &amp; Vera, </w:t>
      </w:r>
      <w:hyperlink w:anchor="_bookmark20" w:history="1">
        <w:r w:rsidRPr="00492CCC">
          <w:rPr>
            <w:rFonts w:cstheme="minorHAnsi"/>
            <w:color w:val="231F20"/>
          </w:rPr>
          <w:t>2010;</w:t>
        </w:r>
      </w:hyperlink>
      <w:r w:rsidRPr="00492CCC">
        <w:rPr>
          <w:rFonts w:cstheme="minorHAnsi"/>
          <w:color w:val="231F20"/>
        </w:rPr>
        <w:t xml:space="preserve"> Garibay, 2015; </w:t>
      </w:r>
      <w:r w:rsidR="00CE59DC" w:rsidRPr="00492CCC">
        <w:rPr>
          <w:rFonts w:cstheme="minorHAnsi"/>
          <w:color w:val="231F20"/>
        </w:rPr>
        <w:t>Georgetown University Center on Education and the Workforce</w:t>
      </w:r>
      <w:r w:rsidRPr="00492CCC">
        <w:rPr>
          <w:rFonts w:cstheme="minorHAnsi"/>
          <w:color w:val="231F20"/>
        </w:rPr>
        <w:t xml:space="preserve">, 2017). Several scholars have attempted to examine such values by citing </w:t>
      </w:r>
      <w:r w:rsidR="00A2493A" w:rsidRPr="00492CCC">
        <w:rPr>
          <w:rFonts w:cstheme="minorHAnsi"/>
          <w:color w:val="231F20"/>
        </w:rPr>
        <w:t xml:space="preserve">that </w:t>
      </w:r>
      <w:r w:rsidRPr="00492CCC">
        <w:rPr>
          <w:rFonts w:cstheme="minorHAnsi"/>
          <w:color w:val="231F20"/>
        </w:rPr>
        <w:t>those who decide to engage in civic action or activism are often motivated from their own shared experiences with injustice and an awareness of distinctions observed across their environments and group disadvantages (Thomas</w:t>
      </w:r>
      <w:r w:rsidR="00C51321" w:rsidRPr="00492CCC">
        <w:rPr>
          <w:rFonts w:cstheme="minorHAnsi"/>
          <w:color w:val="231F20"/>
        </w:rPr>
        <w:t xml:space="preserve"> et al.</w:t>
      </w:r>
      <w:r w:rsidRPr="00492CCC">
        <w:rPr>
          <w:rFonts w:cstheme="minorHAnsi"/>
          <w:color w:val="231F20"/>
        </w:rPr>
        <w:t xml:space="preserve">, 2012; </w:t>
      </w:r>
      <w:r w:rsidR="00A07D13" w:rsidRPr="00492CCC">
        <w:rPr>
          <w:rFonts w:cstheme="minorHAnsi"/>
          <w:color w:val="231F20"/>
        </w:rPr>
        <w:t>v</w:t>
      </w:r>
      <w:r w:rsidRPr="00492CCC">
        <w:rPr>
          <w:rFonts w:cstheme="minorHAnsi"/>
          <w:color w:val="231F20"/>
        </w:rPr>
        <w:t xml:space="preserve">an </w:t>
      </w:r>
      <w:proofErr w:type="spellStart"/>
      <w:r w:rsidRPr="00492CCC">
        <w:rPr>
          <w:rFonts w:cstheme="minorHAnsi"/>
          <w:color w:val="231F20"/>
        </w:rPr>
        <w:t>Zomeren</w:t>
      </w:r>
      <w:proofErr w:type="spellEnd"/>
      <w:r w:rsidRPr="00492CCC">
        <w:rPr>
          <w:rFonts w:cstheme="minorHAnsi"/>
          <w:color w:val="231F20"/>
        </w:rPr>
        <w:t xml:space="preserve"> et al., 2008). Consequently, a value orientation toward social justice may be quite salient among racially diverse students and influence their decision in choosing a major and career (Garibay, </w:t>
      </w:r>
      <w:hyperlink w:anchor="_bookmark19" w:history="1">
        <w:r w:rsidRPr="00492CCC">
          <w:rPr>
            <w:rFonts w:cstheme="minorHAnsi"/>
            <w:color w:val="231F20"/>
          </w:rPr>
          <w:t xml:space="preserve">2015; </w:t>
        </w:r>
      </w:hyperlink>
      <w:r w:rsidR="00EF6AE7" w:rsidRPr="00492CCC">
        <w:rPr>
          <w:rFonts w:cstheme="minorHAnsi"/>
          <w:color w:val="231F20"/>
        </w:rPr>
        <w:t xml:space="preserve">Gibbs &amp; Griffin, 2013; </w:t>
      </w:r>
      <w:r w:rsidRPr="00492CCC">
        <w:rPr>
          <w:rFonts w:cstheme="minorHAnsi"/>
          <w:color w:val="231F20"/>
        </w:rPr>
        <w:t>McGee &amp; Bentley, 2017).</w:t>
      </w:r>
    </w:p>
    <w:p w14:paraId="0EA3FFCC" w14:textId="77777777" w:rsidR="00454249" w:rsidRPr="00492CCC" w:rsidRDefault="00454249" w:rsidP="00773B36">
      <w:pPr>
        <w:pStyle w:val="Heading2"/>
      </w:pPr>
      <w:r w:rsidRPr="00492CCC">
        <w:lastRenderedPageBreak/>
        <w:t>The Role of the University in Social Justice Education</w:t>
      </w:r>
    </w:p>
    <w:p w14:paraId="4498E8BC" w14:textId="6219B84C" w:rsidR="00454249" w:rsidRPr="00492CCC" w:rsidRDefault="00454249" w:rsidP="00773B36">
      <w:pPr>
        <w:pStyle w:val="BodyText"/>
        <w:rPr>
          <w:rFonts w:cstheme="minorHAnsi"/>
        </w:rPr>
      </w:pPr>
      <w:r w:rsidRPr="00492CCC">
        <w:rPr>
          <w:rFonts w:cstheme="minorHAnsi"/>
          <w:color w:val="231F20"/>
        </w:rPr>
        <w:t>The university environment provides a learning context in which students are likely to encounter experiences that alter their beliefs</w:t>
      </w:r>
      <w:r w:rsidR="00067B87" w:rsidRPr="00492CCC">
        <w:rPr>
          <w:rFonts w:cstheme="minorHAnsi"/>
          <w:color w:val="231F20"/>
        </w:rPr>
        <w:t xml:space="preserve"> and</w:t>
      </w:r>
      <w:r w:rsidRPr="00492CCC">
        <w:rPr>
          <w:rFonts w:cstheme="minorHAnsi"/>
          <w:color w:val="231F20"/>
        </w:rPr>
        <w:t xml:space="preserve"> worldview or further </w:t>
      </w:r>
      <w:proofErr w:type="gramStart"/>
      <w:r w:rsidRPr="00492CCC">
        <w:rPr>
          <w:rFonts w:cstheme="minorHAnsi"/>
          <w:color w:val="231F20"/>
        </w:rPr>
        <w:t>affirms</w:t>
      </w:r>
      <w:proofErr w:type="gramEnd"/>
      <w:r w:rsidRPr="00492CCC">
        <w:rPr>
          <w:rFonts w:cstheme="minorHAnsi"/>
          <w:color w:val="231F20"/>
        </w:rPr>
        <w:t xml:space="preserve"> them. Many universities infuse social justice principles and social justice education in</w:t>
      </w:r>
      <w:r w:rsidR="00067B87" w:rsidRPr="00492CCC">
        <w:rPr>
          <w:rFonts w:cstheme="minorHAnsi"/>
          <w:color w:val="231F20"/>
        </w:rPr>
        <w:t>to</w:t>
      </w:r>
      <w:r w:rsidRPr="00492CCC">
        <w:rPr>
          <w:rFonts w:cstheme="minorHAnsi"/>
          <w:color w:val="231F20"/>
        </w:rPr>
        <w:t xml:space="preserve"> department</w:t>
      </w:r>
      <w:r w:rsidR="00A2493A" w:rsidRPr="00492CCC">
        <w:rPr>
          <w:rFonts w:cstheme="minorHAnsi"/>
          <w:color w:val="231F20"/>
        </w:rPr>
        <w:t>al</w:t>
      </w:r>
      <w:r w:rsidRPr="00492CCC">
        <w:rPr>
          <w:rFonts w:cstheme="minorHAnsi"/>
          <w:color w:val="231F20"/>
        </w:rPr>
        <w:t xml:space="preserve">, curricular, and professional training standards (Brennan &amp; Naidoo, 2008; Bringle &amp; Steinberg, 2010; </w:t>
      </w:r>
      <w:proofErr w:type="spellStart"/>
      <w:r w:rsidRPr="00492CCC">
        <w:rPr>
          <w:rFonts w:cstheme="minorHAnsi"/>
          <w:color w:val="231F20"/>
        </w:rPr>
        <w:t>Einfeld</w:t>
      </w:r>
      <w:proofErr w:type="spellEnd"/>
      <w:r w:rsidRPr="00492CCC">
        <w:rPr>
          <w:rFonts w:cstheme="minorHAnsi"/>
          <w:color w:val="231F20"/>
        </w:rPr>
        <w:t xml:space="preserve"> &amp; Collins, 2008; </w:t>
      </w:r>
      <w:proofErr w:type="spellStart"/>
      <w:r w:rsidRPr="00492CCC">
        <w:rPr>
          <w:rFonts w:cstheme="minorHAnsi"/>
          <w:color w:val="231F20"/>
        </w:rPr>
        <w:t>Gallor</w:t>
      </w:r>
      <w:proofErr w:type="spellEnd"/>
      <w:r w:rsidRPr="00492CCC">
        <w:rPr>
          <w:rFonts w:cstheme="minorHAnsi"/>
          <w:color w:val="231F20"/>
        </w:rPr>
        <w:t xml:space="preserve">, 2017; Nagda et al., 1999; Stearns, 2009; Teasley &amp; Archuleta, 2015). The adoption of social justice principles and education </w:t>
      </w:r>
      <w:r w:rsidR="00C87E95" w:rsidRPr="00492CCC">
        <w:rPr>
          <w:rFonts w:cstheme="minorHAnsi"/>
          <w:color w:val="231F20"/>
        </w:rPr>
        <w:t>is</w:t>
      </w:r>
      <w:r w:rsidRPr="00492CCC">
        <w:rPr>
          <w:rFonts w:cstheme="minorHAnsi"/>
          <w:color w:val="231F20"/>
        </w:rPr>
        <w:t xml:space="preserve"> perceived as a necessity in preparing students to meet the social needs of an increasingly diverse population (Adams</w:t>
      </w:r>
      <w:r w:rsidR="00593933" w:rsidRPr="00492CCC">
        <w:rPr>
          <w:rFonts w:cstheme="minorHAnsi"/>
          <w:color w:val="231F20"/>
        </w:rPr>
        <w:t xml:space="preserve"> et al.</w:t>
      </w:r>
      <w:r w:rsidRPr="00492CCC">
        <w:rPr>
          <w:rFonts w:cstheme="minorHAnsi"/>
          <w:color w:val="231F20"/>
        </w:rPr>
        <w:t>, 2016). Students learn about individual biases and global challenges and engage in reflection before working with historically marginalized and oppressed groups (</w:t>
      </w:r>
      <w:proofErr w:type="spellStart"/>
      <w:r w:rsidRPr="00492CCC">
        <w:rPr>
          <w:rFonts w:cstheme="minorHAnsi"/>
          <w:color w:val="231F20"/>
        </w:rPr>
        <w:t>Gallor</w:t>
      </w:r>
      <w:proofErr w:type="spellEnd"/>
      <w:r w:rsidRPr="00492CCC">
        <w:rPr>
          <w:rFonts w:cstheme="minorHAnsi"/>
          <w:color w:val="231F20"/>
        </w:rPr>
        <w:t xml:space="preserve">, 2017). Such learning experiences include the critical examination of values and inequalities and </w:t>
      </w:r>
      <w:r w:rsidR="00C87E95" w:rsidRPr="00492CCC">
        <w:rPr>
          <w:rFonts w:cstheme="minorHAnsi"/>
          <w:color w:val="231F20"/>
        </w:rPr>
        <w:t xml:space="preserve">the </w:t>
      </w:r>
      <w:r w:rsidRPr="00492CCC">
        <w:rPr>
          <w:rFonts w:cstheme="minorHAnsi"/>
          <w:color w:val="231F20"/>
        </w:rPr>
        <w:t>immersi</w:t>
      </w:r>
      <w:r w:rsidR="00C87E95" w:rsidRPr="00492CCC">
        <w:rPr>
          <w:rFonts w:cstheme="minorHAnsi"/>
          <w:color w:val="231F20"/>
        </w:rPr>
        <w:t xml:space="preserve">on of </w:t>
      </w:r>
      <w:r w:rsidRPr="00492CCC">
        <w:rPr>
          <w:rFonts w:cstheme="minorHAnsi"/>
          <w:color w:val="231F20"/>
        </w:rPr>
        <w:t xml:space="preserve">students in diverse communities as volunteers or service providers. The university environment, therefore, becomes an intervening point in students’ lives </w:t>
      </w:r>
      <w:r w:rsidR="00C87E95" w:rsidRPr="00492CCC">
        <w:rPr>
          <w:rFonts w:cstheme="minorHAnsi"/>
          <w:color w:val="231F20"/>
        </w:rPr>
        <w:t>that</w:t>
      </w:r>
      <w:r w:rsidRPr="00492CCC">
        <w:rPr>
          <w:rFonts w:cstheme="minorHAnsi"/>
          <w:color w:val="231F20"/>
        </w:rPr>
        <w:t xml:space="preserve"> can influence their attitudes, beliefs, and behavioral intentions to pursue specific work experiences (Grant, 2012; McInerney, 2012; Mitchell &amp; Soria, 2016).</w:t>
      </w:r>
    </w:p>
    <w:p w14:paraId="57EC83F9" w14:textId="77777777" w:rsidR="00C87E95" w:rsidRPr="00492CCC" w:rsidRDefault="00454249" w:rsidP="00773B36">
      <w:pPr>
        <w:pStyle w:val="BodyText"/>
        <w:rPr>
          <w:rFonts w:cstheme="minorHAnsi"/>
          <w:color w:val="231F20"/>
        </w:rPr>
      </w:pPr>
      <w:r w:rsidRPr="00492CCC">
        <w:rPr>
          <w:rFonts w:cstheme="minorHAnsi"/>
          <w:color w:val="231F20"/>
        </w:rPr>
        <w:t>Community engagement functions as “a collaboration between institutions of higher education and their larger communities (local, regional/state, national, global) for the mutually beneficial exchange of knowledge and resources in a context of partnership and reciprocity” (Driscoll, 2008, p. 38). Students become essential resources to a community by offering their services, time, and knowledge</w:t>
      </w:r>
      <w:r w:rsidR="00A2493A" w:rsidRPr="00492CCC">
        <w:rPr>
          <w:rFonts w:cstheme="minorHAnsi"/>
          <w:color w:val="231F20"/>
        </w:rPr>
        <w:t>;</w:t>
      </w:r>
      <w:r w:rsidRPr="00492CCC">
        <w:rPr>
          <w:rFonts w:cstheme="minorHAnsi"/>
          <w:color w:val="231F20"/>
        </w:rPr>
        <w:t xml:space="preserve"> </w:t>
      </w:r>
      <w:r w:rsidR="00A2493A" w:rsidRPr="00492CCC">
        <w:rPr>
          <w:rFonts w:cstheme="minorHAnsi"/>
          <w:color w:val="231F20"/>
        </w:rPr>
        <w:t>s</w:t>
      </w:r>
      <w:r w:rsidRPr="00492CCC">
        <w:rPr>
          <w:rFonts w:cstheme="minorHAnsi"/>
          <w:color w:val="231F20"/>
        </w:rPr>
        <w:t>imultaneously, the community functions as a space and resource for students to gain knowledge of human behavior, development, and motivation (</w:t>
      </w:r>
      <w:proofErr w:type="spellStart"/>
      <w:r w:rsidRPr="00492CCC">
        <w:rPr>
          <w:rFonts w:cstheme="minorHAnsi"/>
          <w:color w:val="231F20"/>
        </w:rPr>
        <w:t>Gallor</w:t>
      </w:r>
      <w:proofErr w:type="spellEnd"/>
      <w:r w:rsidRPr="00492CCC">
        <w:rPr>
          <w:rFonts w:cstheme="minorHAnsi"/>
          <w:color w:val="231F20"/>
        </w:rPr>
        <w:t>, 2017; Ginwright &amp; Cammarota, 2015; McAuliff</w:t>
      </w:r>
      <w:r w:rsidR="00593933" w:rsidRPr="00492CCC">
        <w:rPr>
          <w:rFonts w:cstheme="minorHAnsi"/>
          <w:color w:val="231F20"/>
        </w:rPr>
        <w:t xml:space="preserve"> et al.</w:t>
      </w:r>
      <w:r w:rsidRPr="00492CCC">
        <w:rPr>
          <w:rFonts w:cstheme="minorHAnsi"/>
          <w:color w:val="231F20"/>
        </w:rPr>
        <w:t xml:space="preserve">, 2013; </w:t>
      </w:r>
      <w:proofErr w:type="spellStart"/>
      <w:r w:rsidRPr="00492CCC">
        <w:rPr>
          <w:rFonts w:cstheme="minorHAnsi"/>
          <w:color w:val="231F20"/>
        </w:rPr>
        <w:t>Schlehofer</w:t>
      </w:r>
      <w:proofErr w:type="spellEnd"/>
      <w:r w:rsidRPr="00492CCC">
        <w:rPr>
          <w:rFonts w:cstheme="minorHAnsi"/>
          <w:color w:val="231F20"/>
        </w:rPr>
        <w:t xml:space="preserve"> &amp; Phillips, 2013). For instance, Ginwright and Cammarota (2015) </w:t>
      </w:r>
      <w:r w:rsidR="00F838A7" w:rsidRPr="00492CCC">
        <w:rPr>
          <w:rFonts w:cstheme="minorHAnsi"/>
          <w:color w:val="231F20"/>
        </w:rPr>
        <w:t>reported</w:t>
      </w:r>
      <w:r w:rsidRPr="00492CCC">
        <w:rPr>
          <w:rFonts w:cstheme="minorHAnsi"/>
          <w:color w:val="231F20"/>
        </w:rPr>
        <w:t xml:space="preserve"> several advantages of placing undergraduate students in international community settings to conduct applied research on issues related to health. </w:t>
      </w:r>
      <w:r w:rsidR="00F838A7" w:rsidRPr="00492CCC">
        <w:rPr>
          <w:rFonts w:cstheme="minorHAnsi"/>
          <w:color w:val="231F20"/>
        </w:rPr>
        <w:t>They</w:t>
      </w:r>
      <w:r w:rsidRPr="00492CCC">
        <w:rPr>
          <w:rFonts w:cstheme="minorHAnsi"/>
          <w:color w:val="231F20"/>
        </w:rPr>
        <w:t xml:space="preserve"> </w:t>
      </w:r>
      <w:r w:rsidRPr="00492CCC">
        <w:rPr>
          <w:rFonts w:cstheme="minorHAnsi"/>
          <w:color w:val="231F20"/>
        </w:rPr>
        <w:lastRenderedPageBreak/>
        <w:t>found that having opportunities for students to reflect on their learning and form relationships with diverse community members increased awareness of structural and economic inequalities and social justice behaviors. Mitchell and Soria’s (2016) analysis of more than 3,000 undergraduate students</w:t>
      </w:r>
      <w:r w:rsidR="00F838A7" w:rsidRPr="00492CCC">
        <w:rPr>
          <w:rFonts w:cstheme="minorHAnsi"/>
          <w:color w:val="231F20"/>
        </w:rPr>
        <w:t xml:space="preserve"> similarly</w:t>
      </w:r>
      <w:r w:rsidRPr="00492CCC">
        <w:rPr>
          <w:rFonts w:cstheme="minorHAnsi"/>
          <w:color w:val="231F20"/>
        </w:rPr>
        <w:t xml:space="preserve"> found </w:t>
      </w:r>
      <w:r w:rsidR="00A2493A" w:rsidRPr="00492CCC">
        <w:rPr>
          <w:rFonts w:cstheme="minorHAnsi"/>
          <w:color w:val="231F20"/>
        </w:rPr>
        <w:t xml:space="preserve">that </w:t>
      </w:r>
      <w:r w:rsidRPr="00492CCC">
        <w:rPr>
          <w:rFonts w:cstheme="minorHAnsi"/>
          <w:color w:val="231F20"/>
        </w:rPr>
        <w:t>those involved in community engagement experiences were more likely to demonstrate positive changes in attitudes, an affinity toward empowering others, and an increase in advocacy behaviors. When students have the opportunity to apply course theories to practical problems and model collaboration in community settings, they are likely to increase their sense of agency and gain relationship</w:t>
      </w:r>
      <w:r w:rsidR="003B1055" w:rsidRPr="00492CCC">
        <w:rPr>
          <w:rFonts w:cstheme="minorHAnsi"/>
          <w:color w:val="231F20"/>
        </w:rPr>
        <w:t>-</w:t>
      </w:r>
      <w:r w:rsidRPr="00492CCC">
        <w:rPr>
          <w:rFonts w:cstheme="minorHAnsi"/>
          <w:color w:val="231F20"/>
        </w:rPr>
        <w:t xml:space="preserve">building skills (Adams et al., 2016; </w:t>
      </w:r>
      <w:proofErr w:type="spellStart"/>
      <w:r w:rsidRPr="00492CCC">
        <w:rPr>
          <w:rFonts w:cstheme="minorHAnsi"/>
          <w:color w:val="231F20"/>
        </w:rPr>
        <w:t>Gallor</w:t>
      </w:r>
      <w:proofErr w:type="spellEnd"/>
      <w:r w:rsidRPr="00492CCC">
        <w:rPr>
          <w:rFonts w:cstheme="minorHAnsi"/>
          <w:color w:val="231F20"/>
        </w:rPr>
        <w:t>, 2017</w:t>
      </w:r>
      <w:r w:rsidR="00F838A7" w:rsidRPr="00492CCC">
        <w:rPr>
          <w:rFonts w:cstheme="minorHAnsi"/>
          <w:color w:val="231F20"/>
        </w:rPr>
        <w:t>;</w:t>
      </w:r>
      <w:r w:rsidRPr="00492CCC">
        <w:rPr>
          <w:rFonts w:cstheme="minorHAnsi"/>
          <w:color w:val="231F20"/>
        </w:rPr>
        <w:t xml:space="preserve"> </w:t>
      </w:r>
      <w:hyperlink w:anchor="_bookmark25" w:history="1">
        <w:r w:rsidRPr="00492CCC">
          <w:rPr>
            <w:rFonts w:cstheme="minorHAnsi"/>
            <w:color w:val="231F20"/>
          </w:rPr>
          <w:t>Gin</w:t>
        </w:r>
      </w:hyperlink>
      <w:r w:rsidRPr="00492CCC">
        <w:rPr>
          <w:rFonts w:cstheme="minorHAnsi"/>
          <w:color w:val="231F20"/>
        </w:rPr>
        <w:t>wright &amp; Cammarota, 2015; Stenhouse &amp; Jarrett, 2012; Zimmerman</w:t>
      </w:r>
      <w:r w:rsidR="00593933" w:rsidRPr="00492CCC">
        <w:rPr>
          <w:rFonts w:cstheme="minorHAnsi"/>
          <w:color w:val="231F20"/>
        </w:rPr>
        <w:t xml:space="preserve"> et al.</w:t>
      </w:r>
      <w:r w:rsidRPr="00492CCC">
        <w:rPr>
          <w:rFonts w:cstheme="minorHAnsi"/>
          <w:color w:val="231F20"/>
        </w:rPr>
        <w:t xml:space="preserve">, 2013). </w:t>
      </w:r>
    </w:p>
    <w:p w14:paraId="2932C384" w14:textId="01525CFE" w:rsidR="00454249" w:rsidRPr="00492CCC" w:rsidRDefault="00454249" w:rsidP="00773B36">
      <w:pPr>
        <w:pStyle w:val="BodyText"/>
        <w:rPr>
          <w:rFonts w:cstheme="minorHAnsi"/>
        </w:rPr>
      </w:pPr>
      <w:r w:rsidRPr="00492CCC">
        <w:rPr>
          <w:rFonts w:cstheme="minorHAnsi"/>
          <w:color w:val="231F20"/>
        </w:rPr>
        <w:t xml:space="preserve">Higher education is a critical context to assess the value of social justice education and community engagement on student learning. Community engagement may be an essential feature of social justice education because it places students outside the traditional classroom and into spaces where they can experience service-learning (Hardiman et al., 2007; McCabe &amp; Rubinson, 2008; </w:t>
      </w:r>
      <w:proofErr w:type="spellStart"/>
      <w:r w:rsidRPr="00492CCC">
        <w:rPr>
          <w:rFonts w:cstheme="minorHAnsi"/>
          <w:color w:val="231F20"/>
        </w:rPr>
        <w:t>Schlehofer</w:t>
      </w:r>
      <w:proofErr w:type="spellEnd"/>
      <w:r w:rsidRPr="00492CCC">
        <w:rPr>
          <w:rFonts w:cstheme="minorHAnsi"/>
          <w:color w:val="231F20"/>
        </w:rPr>
        <w:t xml:space="preserve"> &amp; Phillips, 2013). </w:t>
      </w:r>
      <w:proofErr w:type="spellStart"/>
      <w:r w:rsidRPr="00492CCC">
        <w:rPr>
          <w:rFonts w:cstheme="minorHAnsi"/>
          <w:color w:val="231F20"/>
        </w:rPr>
        <w:t>Gallor</w:t>
      </w:r>
      <w:proofErr w:type="spellEnd"/>
      <w:r w:rsidRPr="00492CCC">
        <w:rPr>
          <w:rFonts w:cstheme="minorHAnsi"/>
          <w:color w:val="231F20"/>
        </w:rPr>
        <w:t xml:space="preserve"> (2017) proposed that students working with a wide range of individuals and diverse communities are an essential piece of </w:t>
      </w:r>
      <w:proofErr w:type="gramStart"/>
      <w:r w:rsidRPr="00492CCC">
        <w:rPr>
          <w:rFonts w:cstheme="minorHAnsi"/>
          <w:color w:val="231F20"/>
        </w:rPr>
        <w:t>instituting</w:t>
      </w:r>
      <w:proofErr w:type="gramEnd"/>
      <w:r w:rsidRPr="00492CCC">
        <w:rPr>
          <w:rFonts w:cstheme="minorHAnsi"/>
          <w:color w:val="231F20"/>
        </w:rPr>
        <w:t xml:space="preserve"> social justice in undergraduate education. Whereas experiential learning connects learning to applied experiences </w:t>
      </w:r>
      <w:hyperlink w:anchor="_bookmark61" w:history="1">
        <w:r w:rsidRPr="00492CCC">
          <w:rPr>
            <w:rFonts w:cstheme="minorHAnsi"/>
            <w:color w:val="231F20"/>
          </w:rPr>
          <w:t>(Si</w:t>
        </w:r>
      </w:hyperlink>
      <w:r w:rsidRPr="00492CCC">
        <w:rPr>
          <w:rFonts w:cstheme="minorHAnsi"/>
          <w:color w:val="231F20"/>
        </w:rPr>
        <w:t>mons et al., 2012), service-learning involves learning from service to one’s community (Stenhouse &amp; Jarrett, 2012). Students begin to work within local communities, collaborate with others, and develop competence in the values of fairness, respect for human dignity, and diversity. McAuliff et al. (2013) found undergraduate students volunteering in communities and working with organizations</w:t>
      </w:r>
      <w:r w:rsidR="00F838A7" w:rsidRPr="00492CCC">
        <w:rPr>
          <w:rFonts w:cstheme="minorHAnsi"/>
          <w:color w:val="231F20"/>
        </w:rPr>
        <w:t xml:space="preserve"> </w:t>
      </w:r>
      <w:r w:rsidRPr="00492CCC">
        <w:rPr>
          <w:rFonts w:cstheme="minorHAnsi"/>
          <w:color w:val="231F20"/>
        </w:rPr>
        <w:t xml:space="preserve">were more likely to develop favorable attitudes toward social justice. Learning </w:t>
      </w:r>
      <w:r w:rsidR="00C87E95" w:rsidRPr="00492CCC">
        <w:rPr>
          <w:rFonts w:cstheme="minorHAnsi"/>
          <w:color w:val="231F20"/>
        </w:rPr>
        <w:t xml:space="preserve">thus </w:t>
      </w:r>
      <w:r w:rsidRPr="00492CCC">
        <w:rPr>
          <w:rFonts w:cstheme="minorHAnsi"/>
          <w:color w:val="231F20"/>
        </w:rPr>
        <w:t>becomes a vital outcome in community engagement experience when it transforms how students think of others</w:t>
      </w:r>
      <w:r w:rsidR="00F838A7" w:rsidRPr="00492CCC">
        <w:rPr>
          <w:rFonts w:cstheme="minorHAnsi"/>
          <w:color w:val="231F20"/>
        </w:rPr>
        <w:t xml:space="preserve"> and</w:t>
      </w:r>
      <w:r w:rsidRPr="00492CCC">
        <w:rPr>
          <w:rFonts w:cstheme="minorHAnsi"/>
          <w:color w:val="231F20"/>
        </w:rPr>
        <w:t xml:space="preserve"> see themselves and increases their efficacy to advocate for justice (Friedland, 2004; Grant, </w:t>
      </w:r>
      <w:hyperlink w:anchor="_bookmark27" w:history="1">
        <w:r w:rsidRPr="00492CCC">
          <w:rPr>
            <w:rFonts w:cstheme="minorHAnsi"/>
            <w:color w:val="231F20"/>
          </w:rPr>
          <w:t>2012;</w:t>
        </w:r>
      </w:hyperlink>
      <w:r w:rsidRPr="00492CCC">
        <w:rPr>
          <w:rFonts w:cstheme="minorHAnsi"/>
          <w:color w:val="231F20"/>
        </w:rPr>
        <w:t xml:space="preserve"> McInerney, 2012; Nagda et al., 1999; Watts &amp; Flanagan, 2007).</w:t>
      </w:r>
    </w:p>
    <w:p w14:paraId="1B835E92" w14:textId="77777777" w:rsidR="00454249" w:rsidRPr="00492CCC" w:rsidRDefault="00454249" w:rsidP="00773B36">
      <w:pPr>
        <w:pStyle w:val="Heading1"/>
      </w:pPr>
      <w:r w:rsidRPr="00492CCC">
        <w:lastRenderedPageBreak/>
        <w:t>Method</w:t>
      </w:r>
    </w:p>
    <w:p w14:paraId="19CFC2AF" w14:textId="59DFB0CC" w:rsidR="00454249" w:rsidRPr="00492CCC" w:rsidRDefault="00454249" w:rsidP="00773B36">
      <w:pPr>
        <w:pStyle w:val="BodyText"/>
        <w:rPr>
          <w:rFonts w:cstheme="minorHAnsi"/>
        </w:rPr>
      </w:pPr>
      <w:r w:rsidRPr="00492CCC">
        <w:rPr>
          <w:rFonts w:cstheme="minorHAnsi"/>
          <w:color w:val="231F20"/>
        </w:rPr>
        <w:t>Th</w:t>
      </w:r>
      <w:r w:rsidR="00F838A7" w:rsidRPr="00492CCC">
        <w:rPr>
          <w:rFonts w:cstheme="minorHAnsi"/>
          <w:color w:val="231F20"/>
        </w:rPr>
        <w:t>e present</w:t>
      </w:r>
      <w:r w:rsidRPr="00492CCC">
        <w:rPr>
          <w:rFonts w:cstheme="minorHAnsi"/>
          <w:color w:val="231F20"/>
        </w:rPr>
        <w:t xml:space="preserve"> study employs a mixed methods design to assess a value orientation toward social justice in a sample of racially diverse students enrolled in an undergraduate community psychology course. The research design use</w:t>
      </w:r>
      <w:r w:rsidR="00F838A7" w:rsidRPr="00492CCC">
        <w:rPr>
          <w:rFonts w:cstheme="minorHAnsi"/>
          <w:color w:val="231F20"/>
        </w:rPr>
        <w:t>s</w:t>
      </w:r>
      <w:r w:rsidRPr="00492CCC">
        <w:rPr>
          <w:rFonts w:cstheme="minorHAnsi"/>
          <w:color w:val="231F20"/>
        </w:rPr>
        <w:t xml:space="preserve"> the typology QUANTITATIVE + qualitative to emphasize the quantitative phase and compl</w:t>
      </w:r>
      <w:r w:rsidR="00505B30" w:rsidRPr="00492CCC">
        <w:rPr>
          <w:rFonts w:cstheme="minorHAnsi"/>
          <w:color w:val="231F20"/>
        </w:rPr>
        <w:t>e</w:t>
      </w:r>
      <w:r w:rsidRPr="00492CCC">
        <w:rPr>
          <w:rFonts w:cstheme="minorHAnsi"/>
          <w:color w:val="231F20"/>
        </w:rPr>
        <w:t>mentary role of the qualitative phase in the mixed methods design (Creswell &amp; Plano Clark, 2011). The design of the study provides a descriptive analysis of students’ social justice orientation using a validated metric (Torres-Harding</w:t>
      </w:r>
      <w:r w:rsidR="00593933" w:rsidRPr="00492CCC">
        <w:rPr>
          <w:rFonts w:cstheme="minorHAnsi"/>
          <w:color w:val="231F20"/>
        </w:rPr>
        <w:t xml:space="preserve"> et al.</w:t>
      </w:r>
      <w:r w:rsidRPr="00492CCC">
        <w:rPr>
          <w:rFonts w:cstheme="minorHAnsi"/>
          <w:color w:val="231F20"/>
        </w:rPr>
        <w:t>, 2012) and further explicates findings through</w:t>
      </w:r>
      <w:r w:rsidR="00F838A7" w:rsidRPr="00492CCC">
        <w:rPr>
          <w:rFonts w:cstheme="minorHAnsi"/>
          <w:color w:val="231F20"/>
        </w:rPr>
        <w:t xml:space="preserve"> the</w:t>
      </w:r>
      <w:r w:rsidRPr="00492CCC">
        <w:rPr>
          <w:rFonts w:cstheme="minorHAnsi"/>
          <w:color w:val="231F20"/>
        </w:rPr>
        <w:t xml:space="preserve"> interpretive analysis of qualitative responses (Esterberg, 2002).</w:t>
      </w:r>
    </w:p>
    <w:p w14:paraId="526C7D87" w14:textId="7C641BA6" w:rsidR="00454249" w:rsidRPr="00492CCC" w:rsidRDefault="00454249" w:rsidP="00773B36">
      <w:pPr>
        <w:pStyle w:val="Heading2"/>
      </w:pPr>
      <w:r w:rsidRPr="00492CCC">
        <w:t>Context</w:t>
      </w:r>
    </w:p>
    <w:p w14:paraId="7AA39CD7" w14:textId="01981F3F" w:rsidR="00454249" w:rsidRPr="00492CCC" w:rsidRDefault="00454249" w:rsidP="00773B36">
      <w:pPr>
        <w:pStyle w:val="BodyText"/>
        <w:rPr>
          <w:rFonts w:cstheme="minorHAnsi"/>
        </w:rPr>
      </w:pPr>
      <w:r w:rsidRPr="00492CCC">
        <w:rPr>
          <w:rFonts w:cstheme="minorHAnsi"/>
          <w:color w:val="231F20"/>
        </w:rPr>
        <w:t xml:space="preserve">The </w:t>
      </w:r>
      <w:r w:rsidR="00A2493A" w:rsidRPr="00492CCC">
        <w:rPr>
          <w:rFonts w:cstheme="minorHAnsi"/>
          <w:color w:val="231F20"/>
        </w:rPr>
        <w:t>i</w:t>
      </w:r>
      <w:r w:rsidRPr="00492CCC">
        <w:rPr>
          <w:rFonts w:cstheme="minorHAnsi"/>
          <w:color w:val="231F20"/>
        </w:rPr>
        <w:t xml:space="preserve">nstitutional </w:t>
      </w:r>
      <w:r w:rsidR="00A2493A" w:rsidRPr="00492CCC">
        <w:rPr>
          <w:rFonts w:cstheme="minorHAnsi"/>
          <w:color w:val="231F20"/>
        </w:rPr>
        <w:t>r</w:t>
      </w:r>
      <w:r w:rsidRPr="00492CCC">
        <w:rPr>
          <w:rFonts w:cstheme="minorHAnsi"/>
          <w:color w:val="231F20"/>
        </w:rPr>
        <w:t xml:space="preserve">eview </w:t>
      </w:r>
      <w:r w:rsidR="00A2493A" w:rsidRPr="00492CCC">
        <w:rPr>
          <w:rFonts w:cstheme="minorHAnsi"/>
          <w:color w:val="231F20"/>
        </w:rPr>
        <w:t>b</w:t>
      </w:r>
      <w:r w:rsidRPr="00492CCC">
        <w:rPr>
          <w:rFonts w:cstheme="minorHAnsi"/>
          <w:color w:val="231F20"/>
        </w:rPr>
        <w:t>oard approved the research design and protocol for this study. The students selected for th</w:t>
      </w:r>
      <w:r w:rsidR="00F838A7" w:rsidRPr="00492CCC">
        <w:rPr>
          <w:rFonts w:cstheme="minorHAnsi"/>
          <w:color w:val="231F20"/>
        </w:rPr>
        <w:t>e</w:t>
      </w:r>
      <w:r w:rsidRPr="00492CCC">
        <w:rPr>
          <w:rFonts w:cstheme="minorHAnsi"/>
          <w:color w:val="231F20"/>
        </w:rPr>
        <w:t xml:space="preserve"> study were from an undergraduate community psychology course offered over </w:t>
      </w:r>
      <w:r w:rsidR="00A2493A" w:rsidRPr="00492CCC">
        <w:rPr>
          <w:rFonts w:cstheme="minorHAnsi"/>
          <w:color w:val="231F20"/>
        </w:rPr>
        <w:t>3</w:t>
      </w:r>
      <w:r w:rsidRPr="00492CCC">
        <w:rPr>
          <w:rFonts w:cstheme="minorHAnsi"/>
          <w:color w:val="231F20"/>
        </w:rPr>
        <w:t xml:space="preserve"> subsequent years at a minority-serving institution in the </w:t>
      </w:r>
      <w:r w:rsidR="00ED64FB" w:rsidRPr="00492CCC">
        <w:rPr>
          <w:rFonts w:cstheme="minorHAnsi"/>
          <w:color w:val="231F20"/>
        </w:rPr>
        <w:t>s</w:t>
      </w:r>
      <w:r w:rsidRPr="00492CCC">
        <w:rPr>
          <w:rFonts w:cstheme="minorHAnsi"/>
          <w:color w:val="231F20"/>
        </w:rPr>
        <w:t>outheast region of the United States. The university enrolled students who majority self-identified as first</w:t>
      </w:r>
      <w:r w:rsidR="00E20472" w:rsidRPr="00492CCC">
        <w:rPr>
          <w:rFonts w:cstheme="minorHAnsi"/>
          <w:color w:val="231F20"/>
        </w:rPr>
        <w:t xml:space="preserve"> </w:t>
      </w:r>
      <w:r w:rsidRPr="00492CCC">
        <w:rPr>
          <w:rFonts w:cstheme="minorHAnsi"/>
          <w:color w:val="231F20"/>
        </w:rPr>
        <w:t xml:space="preserve">generation </w:t>
      </w:r>
      <w:r w:rsidR="00F838A7" w:rsidRPr="00492CCC">
        <w:rPr>
          <w:rFonts w:cstheme="minorHAnsi"/>
          <w:color w:val="231F20"/>
        </w:rPr>
        <w:t>(</w:t>
      </w:r>
      <w:r w:rsidRPr="00492CCC">
        <w:rPr>
          <w:rFonts w:cstheme="minorHAnsi"/>
          <w:color w:val="231F20"/>
        </w:rPr>
        <w:t>52%</w:t>
      </w:r>
      <w:r w:rsidR="00F838A7" w:rsidRPr="00492CCC">
        <w:rPr>
          <w:rFonts w:cstheme="minorHAnsi"/>
          <w:color w:val="231F20"/>
        </w:rPr>
        <w:t>)</w:t>
      </w:r>
      <w:r w:rsidR="00610107" w:rsidRPr="00492CCC">
        <w:rPr>
          <w:rFonts w:cstheme="minorHAnsi"/>
          <w:color w:val="231F20"/>
        </w:rPr>
        <w:t>,</w:t>
      </w:r>
      <w:r w:rsidRPr="00492CCC">
        <w:rPr>
          <w:rFonts w:cstheme="minorHAnsi"/>
          <w:color w:val="231F20"/>
        </w:rPr>
        <w:t xml:space="preserve"> and 77% identified as a member of a racially diverse group (to include Black/African American, Hispanic, or mixed ethnic/racial groups). The minority-serving institution provide</w:t>
      </w:r>
      <w:r w:rsidR="00610107" w:rsidRPr="00492CCC">
        <w:rPr>
          <w:rFonts w:cstheme="minorHAnsi"/>
          <w:color w:val="231F20"/>
        </w:rPr>
        <w:t>d</w:t>
      </w:r>
      <w:r w:rsidRPr="00492CCC">
        <w:rPr>
          <w:rFonts w:cstheme="minorHAnsi"/>
          <w:color w:val="231F20"/>
        </w:rPr>
        <w:t xml:space="preserve"> a vital context to investigate undergraduate community psychology education because </w:t>
      </w:r>
      <w:proofErr w:type="gramStart"/>
      <w:r w:rsidRPr="00492CCC">
        <w:rPr>
          <w:rFonts w:cstheme="minorHAnsi"/>
          <w:color w:val="231F20"/>
        </w:rPr>
        <w:t>a majority of</w:t>
      </w:r>
      <w:proofErr w:type="gramEnd"/>
      <w:r w:rsidRPr="00492CCC">
        <w:rPr>
          <w:rFonts w:cstheme="minorHAnsi"/>
          <w:color w:val="231F20"/>
        </w:rPr>
        <w:t xml:space="preserve"> students represent groups underrepresented in the field of psychology and </w:t>
      </w:r>
      <w:r w:rsidR="00610107" w:rsidRPr="00492CCC">
        <w:rPr>
          <w:rFonts w:cstheme="minorHAnsi"/>
          <w:color w:val="231F20"/>
        </w:rPr>
        <w:t>those students</w:t>
      </w:r>
      <w:r w:rsidRPr="00492CCC">
        <w:rPr>
          <w:rFonts w:cstheme="minorHAnsi"/>
          <w:color w:val="231F20"/>
        </w:rPr>
        <w:t xml:space="preserve"> may have limited to no exposure to community psychology (Bauer</w:t>
      </w:r>
      <w:r w:rsidR="00593933" w:rsidRPr="00492CCC">
        <w:rPr>
          <w:rFonts w:cstheme="minorHAnsi"/>
          <w:color w:val="231F20"/>
        </w:rPr>
        <w:t xml:space="preserve"> et al.</w:t>
      </w:r>
      <w:r w:rsidRPr="00492CCC">
        <w:rPr>
          <w:rFonts w:cstheme="minorHAnsi"/>
          <w:color w:val="231F20"/>
        </w:rPr>
        <w:t>, 2017; Simmons &amp; Smiley, 2010).</w:t>
      </w:r>
    </w:p>
    <w:p w14:paraId="71C4D7CB" w14:textId="77777777" w:rsidR="00454249" w:rsidRPr="00492CCC" w:rsidRDefault="00454249" w:rsidP="00773B36">
      <w:pPr>
        <w:pStyle w:val="Heading2"/>
      </w:pPr>
      <w:r w:rsidRPr="00492CCC">
        <w:t>Participants</w:t>
      </w:r>
    </w:p>
    <w:p w14:paraId="1165D1B4" w14:textId="051B663E" w:rsidR="00454249" w:rsidRDefault="00454249" w:rsidP="00773B36">
      <w:pPr>
        <w:pStyle w:val="BodyText"/>
        <w:rPr>
          <w:rFonts w:cstheme="minorHAnsi"/>
          <w:color w:val="231F20"/>
        </w:rPr>
      </w:pPr>
      <w:r w:rsidRPr="00492CCC">
        <w:rPr>
          <w:rFonts w:cstheme="minorHAnsi"/>
          <w:color w:val="231F20"/>
        </w:rPr>
        <w:t>The study included a cross-sectional sample of undergraduate students</w:t>
      </w:r>
      <w:r w:rsidR="00A2493A" w:rsidRPr="00492CCC">
        <w:rPr>
          <w:rFonts w:cstheme="minorHAnsi"/>
          <w:color w:val="231F20"/>
        </w:rPr>
        <w:t>.</w:t>
      </w:r>
      <w:r w:rsidRPr="00492CCC">
        <w:rPr>
          <w:rFonts w:cstheme="minorHAnsi"/>
          <w:color w:val="231F20"/>
        </w:rPr>
        <w:t xml:space="preserve"> </w:t>
      </w:r>
      <w:r w:rsidR="00A2493A" w:rsidRPr="00492CCC">
        <w:rPr>
          <w:rFonts w:cstheme="minorHAnsi"/>
          <w:color w:val="231F20"/>
        </w:rPr>
        <w:t xml:space="preserve">Of </w:t>
      </w:r>
      <w:r w:rsidRPr="00492CCC">
        <w:rPr>
          <w:rFonts w:cstheme="minorHAnsi"/>
          <w:color w:val="231F20"/>
        </w:rPr>
        <w:t>a total of 72 students enrolled in the undergraduate courses</w:t>
      </w:r>
      <w:r w:rsidR="00A2493A" w:rsidRPr="00492CCC">
        <w:rPr>
          <w:rFonts w:cstheme="minorHAnsi"/>
          <w:color w:val="231F20"/>
        </w:rPr>
        <w:t>,</w:t>
      </w:r>
      <w:r w:rsidRPr="00492CCC">
        <w:rPr>
          <w:rFonts w:cstheme="minorHAnsi"/>
          <w:color w:val="231F20"/>
        </w:rPr>
        <w:t xml:space="preserve"> 61 provided informed consent (89% of enrollment). Of those students who did not provide informed consent, five withdrew, and the remaining chose to opt</w:t>
      </w:r>
      <w:r w:rsidR="00A2493A" w:rsidRPr="00492CCC">
        <w:rPr>
          <w:rFonts w:cstheme="minorHAnsi"/>
          <w:color w:val="231F20"/>
        </w:rPr>
        <w:t xml:space="preserve"> </w:t>
      </w:r>
      <w:r w:rsidRPr="00492CCC">
        <w:rPr>
          <w:rFonts w:cstheme="minorHAnsi"/>
          <w:color w:val="231F20"/>
        </w:rPr>
        <w:t xml:space="preserve">out of the study. </w:t>
      </w:r>
      <w:proofErr w:type="gramStart"/>
      <w:r w:rsidRPr="00492CCC">
        <w:rPr>
          <w:rFonts w:cstheme="minorHAnsi"/>
          <w:color w:val="231F20"/>
        </w:rPr>
        <w:t>Course</w:t>
      </w:r>
      <w:proofErr w:type="gramEnd"/>
      <w:r w:rsidRPr="00492CCC">
        <w:rPr>
          <w:rFonts w:cstheme="minorHAnsi"/>
          <w:color w:val="231F20"/>
        </w:rPr>
        <w:t xml:space="preserve"> size varied from 18 to 28 students</w:t>
      </w:r>
      <w:r w:rsidR="00610107" w:rsidRPr="00492CCC">
        <w:rPr>
          <w:rFonts w:cstheme="minorHAnsi"/>
          <w:color w:val="231F20"/>
        </w:rPr>
        <w:t xml:space="preserve">. </w:t>
      </w:r>
      <w:proofErr w:type="gramStart"/>
      <w:r w:rsidR="00610107" w:rsidRPr="00492CCC">
        <w:rPr>
          <w:rFonts w:cstheme="minorHAnsi"/>
          <w:color w:val="231F20"/>
        </w:rPr>
        <w:t>T</w:t>
      </w:r>
      <w:r w:rsidRPr="00492CCC">
        <w:rPr>
          <w:rFonts w:cstheme="minorHAnsi"/>
          <w:color w:val="231F20"/>
        </w:rPr>
        <w:t>he majority of</w:t>
      </w:r>
      <w:proofErr w:type="gramEnd"/>
      <w:r w:rsidRPr="00492CCC">
        <w:rPr>
          <w:rFonts w:cstheme="minorHAnsi"/>
          <w:color w:val="231F20"/>
        </w:rPr>
        <w:t xml:space="preserve"> </w:t>
      </w:r>
      <w:r w:rsidRPr="00492CCC">
        <w:rPr>
          <w:rFonts w:cstheme="minorHAnsi"/>
          <w:color w:val="231F20"/>
        </w:rPr>
        <w:lastRenderedPageBreak/>
        <w:t xml:space="preserve">students self-identified as African American (85%) and female (87%). </w:t>
      </w:r>
      <w:hyperlink w:anchor="_bookmark0" w:history="1">
        <w:r w:rsidRPr="00492CCC">
          <w:rPr>
            <w:rFonts w:cstheme="minorHAnsi"/>
            <w:color w:val="231F20"/>
          </w:rPr>
          <w:t xml:space="preserve">Table 1 </w:t>
        </w:r>
      </w:hyperlink>
      <w:r w:rsidRPr="00492CCC">
        <w:rPr>
          <w:rFonts w:cstheme="minorHAnsi"/>
          <w:color w:val="231F20"/>
        </w:rPr>
        <w:t xml:space="preserve">provides an overview of student demographics for each course offering. Seventy-seven percent </w:t>
      </w:r>
      <w:r w:rsidR="00610107" w:rsidRPr="00492CCC">
        <w:rPr>
          <w:rFonts w:cstheme="minorHAnsi"/>
          <w:color w:val="231F20"/>
        </w:rPr>
        <w:t xml:space="preserve">of students </w:t>
      </w:r>
      <w:r w:rsidRPr="00492CCC">
        <w:rPr>
          <w:rFonts w:cstheme="minorHAnsi"/>
          <w:color w:val="231F20"/>
        </w:rPr>
        <w:t>indicated</w:t>
      </w:r>
      <w:r w:rsidR="00610107" w:rsidRPr="00492CCC">
        <w:rPr>
          <w:rFonts w:cstheme="minorHAnsi"/>
          <w:color w:val="231F20"/>
        </w:rPr>
        <w:t xml:space="preserve"> that</w:t>
      </w:r>
      <w:r w:rsidRPr="00492CCC">
        <w:rPr>
          <w:rFonts w:cstheme="minorHAnsi"/>
          <w:color w:val="231F20"/>
        </w:rPr>
        <w:t xml:space="preserve"> they were majoring in psychology</w:t>
      </w:r>
      <w:r w:rsidR="00A2493A" w:rsidRPr="00492CCC">
        <w:rPr>
          <w:rFonts w:cstheme="minorHAnsi"/>
          <w:color w:val="231F20"/>
        </w:rPr>
        <w:t>,</w:t>
      </w:r>
      <w:r w:rsidRPr="00492CCC">
        <w:rPr>
          <w:rFonts w:cstheme="minorHAnsi"/>
          <w:color w:val="231F20"/>
        </w:rPr>
        <w:t xml:space="preserve"> and the remaining 23% majored in social work, education, and interdisciplinary studies. </w:t>
      </w:r>
      <w:proofErr w:type="gramStart"/>
      <w:r w:rsidRPr="00492CCC">
        <w:rPr>
          <w:rFonts w:cstheme="minorHAnsi"/>
          <w:color w:val="231F20"/>
        </w:rPr>
        <w:t>The majority of</w:t>
      </w:r>
      <w:proofErr w:type="gramEnd"/>
      <w:r w:rsidRPr="00492CCC">
        <w:rPr>
          <w:rFonts w:cstheme="minorHAnsi"/>
          <w:color w:val="231F20"/>
        </w:rPr>
        <w:t xml:space="preserve"> students were completing their </w:t>
      </w:r>
      <w:r w:rsidR="00FC739A" w:rsidRPr="00492CCC">
        <w:rPr>
          <w:rFonts w:cstheme="minorHAnsi"/>
          <w:color w:val="231F20"/>
        </w:rPr>
        <w:t>3</w:t>
      </w:r>
      <w:r w:rsidRPr="00492CCC">
        <w:rPr>
          <w:rFonts w:cstheme="minorHAnsi"/>
          <w:color w:val="231F20"/>
        </w:rPr>
        <w:t>rd year in college, and the average age of students in the sample was 21.5 years (</w:t>
      </w:r>
      <w:r w:rsidRPr="00492CCC">
        <w:rPr>
          <w:rFonts w:cstheme="minorHAnsi"/>
          <w:i/>
          <w:color w:val="231F20"/>
        </w:rPr>
        <w:t xml:space="preserve">SD </w:t>
      </w:r>
      <w:r w:rsidRPr="00492CCC">
        <w:rPr>
          <w:rFonts w:cstheme="minorHAnsi"/>
          <w:color w:val="231F20"/>
        </w:rPr>
        <w:t>= 4.25).</w:t>
      </w:r>
    </w:p>
    <w:p w14:paraId="0497A2C1" w14:textId="77777777" w:rsidR="00492CCC" w:rsidRDefault="00492CCC" w:rsidP="00773B36">
      <w:pPr>
        <w:pStyle w:val="BodyText"/>
        <w:rPr>
          <w:rFonts w:cstheme="minorHAnsi"/>
          <w:color w:val="231F20"/>
        </w:rPr>
      </w:pPr>
    </w:p>
    <w:p w14:paraId="1C0AC66B" w14:textId="77777777" w:rsidR="00492CCC" w:rsidRPr="00492CCC" w:rsidRDefault="00492CCC" w:rsidP="00492CCC">
      <w:pPr>
        <w:rPr>
          <w:rFonts w:cstheme="minorHAnsi"/>
          <w:b/>
          <w:bCs/>
        </w:rPr>
      </w:pPr>
      <w:r w:rsidRPr="00492CCC">
        <w:rPr>
          <w:rFonts w:cstheme="minorHAnsi"/>
          <w:b/>
          <w:bCs/>
          <w:color w:val="231F20"/>
        </w:rPr>
        <w:t>Table 1</w:t>
      </w:r>
    </w:p>
    <w:p w14:paraId="646AC1B9" w14:textId="77777777" w:rsidR="00492CCC" w:rsidRPr="00492CCC" w:rsidRDefault="00492CCC" w:rsidP="00492CCC">
      <w:pPr>
        <w:rPr>
          <w:rFonts w:cstheme="minorHAnsi"/>
          <w:i/>
        </w:rPr>
      </w:pPr>
      <w:r w:rsidRPr="00492CCC">
        <w:rPr>
          <w:rFonts w:cstheme="minorHAnsi"/>
          <w:i/>
          <w:color w:val="231F20"/>
        </w:rPr>
        <w:t>Characteristics of Students Enrolled in the Undergraduate Course</w:t>
      </w:r>
    </w:p>
    <w:tbl>
      <w:tblPr>
        <w:tblW w:w="5000" w:type="pct"/>
        <w:tblCellMar>
          <w:left w:w="0" w:type="dxa"/>
          <w:right w:w="0" w:type="dxa"/>
        </w:tblCellMar>
        <w:tblLook w:val="01E0" w:firstRow="1" w:lastRow="1" w:firstColumn="1" w:lastColumn="1" w:noHBand="0" w:noVBand="0"/>
      </w:tblPr>
      <w:tblGrid>
        <w:gridCol w:w="3084"/>
        <w:gridCol w:w="1674"/>
        <w:gridCol w:w="1675"/>
        <w:gridCol w:w="1675"/>
        <w:gridCol w:w="1252"/>
      </w:tblGrid>
      <w:tr w:rsidR="00492CCC" w:rsidRPr="00492CCC" w14:paraId="699C8B5A" w14:textId="77777777" w:rsidTr="009444AC">
        <w:trPr>
          <w:trHeight w:val="415"/>
        </w:trPr>
        <w:tc>
          <w:tcPr>
            <w:tcW w:w="1647" w:type="pct"/>
            <w:vMerge w:val="restart"/>
            <w:tcBorders>
              <w:top w:val="single" w:sz="8" w:space="0" w:color="auto"/>
            </w:tcBorders>
          </w:tcPr>
          <w:p w14:paraId="6E96C1A7" w14:textId="77777777" w:rsidR="00492CCC" w:rsidRPr="00492CCC" w:rsidRDefault="00492CCC" w:rsidP="009444AC">
            <w:pPr>
              <w:pStyle w:val="TableParagraph"/>
              <w:spacing w:line="240" w:lineRule="auto"/>
              <w:contextualSpacing/>
              <w:rPr>
                <w:rFonts w:ascii="Aptos" w:hAnsi="Aptos" w:cstheme="minorHAnsi"/>
                <w:color w:val="231F20"/>
              </w:rPr>
            </w:pPr>
            <w:r w:rsidRPr="00492CCC">
              <w:rPr>
                <w:rFonts w:ascii="Aptos" w:hAnsi="Aptos" w:cstheme="minorHAnsi"/>
                <w:color w:val="231F20"/>
              </w:rPr>
              <w:t>Characteristic</w:t>
            </w:r>
          </w:p>
        </w:tc>
        <w:tc>
          <w:tcPr>
            <w:tcW w:w="2684" w:type="pct"/>
            <w:gridSpan w:val="3"/>
            <w:tcBorders>
              <w:top w:val="single" w:sz="8" w:space="0" w:color="auto"/>
              <w:bottom w:val="single" w:sz="8" w:space="0" w:color="auto"/>
            </w:tcBorders>
          </w:tcPr>
          <w:p w14:paraId="28900FA4" w14:textId="77777777" w:rsidR="00492CCC" w:rsidRPr="00492CCC" w:rsidRDefault="00492CCC" w:rsidP="009444AC">
            <w:pPr>
              <w:pStyle w:val="TableParagraph"/>
              <w:spacing w:line="240" w:lineRule="auto"/>
              <w:ind w:firstLine="720"/>
              <w:contextualSpacing/>
              <w:rPr>
                <w:rFonts w:ascii="Aptos" w:hAnsi="Aptos" w:cstheme="minorHAnsi"/>
                <w:color w:val="231F20"/>
              </w:rPr>
            </w:pPr>
            <w:r w:rsidRPr="00492CCC">
              <w:rPr>
                <w:rFonts w:ascii="Aptos" w:hAnsi="Aptos" w:cstheme="minorHAnsi"/>
                <w:color w:val="231F20"/>
              </w:rPr>
              <w:t>Course offerings</w:t>
            </w:r>
          </w:p>
        </w:tc>
        <w:tc>
          <w:tcPr>
            <w:tcW w:w="669" w:type="pct"/>
            <w:vMerge w:val="restart"/>
            <w:tcBorders>
              <w:top w:val="single" w:sz="8" w:space="0" w:color="auto"/>
            </w:tcBorders>
          </w:tcPr>
          <w:p w14:paraId="39B4D6AD" w14:textId="77777777" w:rsidR="00492CCC" w:rsidRPr="00492CCC" w:rsidRDefault="00492CCC" w:rsidP="009444AC">
            <w:pPr>
              <w:spacing w:line="240" w:lineRule="auto"/>
              <w:contextualSpacing/>
              <w:jc w:val="center"/>
              <w:rPr>
                <w:rFonts w:cstheme="minorHAnsi"/>
              </w:rPr>
            </w:pPr>
            <w:r w:rsidRPr="00492CCC">
              <w:rPr>
                <w:rFonts w:cstheme="minorHAnsi"/>
              </w:rPr>
              <w:t>Total (</w:t>
            </w:r>
            <w:r w:rsidRPr="00492CCC">
              <w:rPr>
                <w:rFonts w:cstheme="minorHAnsi"/>
                <w:i/>
                <w:color w:val="231F20"/>
              </w:rPr>
              <w:t xml:space="preserve">N </w:t>
            </w:r>
            <w:r w:rsidRPr="00492CCC">
              <w:rPr>
                <w:rFonts w:cstheme="minorHAnsi"/>
                <w:color w:val="231F20"/>
              </w:rPr>
              <w:t>= 61)</w:t>
            </w:r>
          </w:p>
        </w:tc>
      </w:tr>
      <w:tr w:rsidR="00492CCC" w:rsidRPr="00492CCC" w14:paraId="2191CB2F" w14:textId="77777777" w:rsidTr="009444AC">
        <w:trPr>
          <w:trHeight w:val="415"/>
        </w:trPr>
        <w:tc>
          <w:tcPr>
            <w:tcW w:w="1647" w:type="pct"/>
            <w:vMerge/>
            <w:tcBorders>
              <w:bottom w:val="single" w:sz="8" w:space="0" w:color="auto"/>
            </w:tcBorders>
          </w:tcPr>
          <w:p w14:paraId="359AFA1A" w14:textId="77777777" w:rsidR="00492CCC" w:rsidRPr="00492CCC" w:rsidRDefault="00492CCC" w:rsidP="009444AC">
            <w:pPr>
              <w:pStyle w:val="TableParagraph"/>
              <w:spacing w:line="240" w:lineRule="auto"/>
              <w:contextualSpacing/>
              <w:jc w:val="both"/>
              <w:rPr>
                <w:rFonts w:ascii="Aptos" w:hAnsi="Aptos" w:cstheme="minorHAnsi"/>
                <w:color w:val="231F20"/>
              </w:rPr>
            </w:pPr>
          </w:p>
        </w:tc>
        <w:tc>
          <w:tcPr>
            <w:tcW w:w="894" w:type="pct"/>
            <w:tcBorders>
              <w:top w:val="single" w:sz="8" w:space="0" w:color="auto"/>
              <w:bottom w:val="single" w:sz="8" w:space="0" w:color="auto"/>
            </w:tcBorders>
          </w:tcPr>
          <w:p w14:paraId="15797B55" w14:textId="77777777" w:rsidR="00492CCC" w:rsidRPr="00492CCC" w:rsidRDefault="00492CCC" w:rsidP="009444AC">
            <w:pPr>
              <w:pStyle w:val="TableParagraph"/>
              <w:spacing w:line="240" w:lineRule="auto"/>
              <w:contextualSpacing/>
              <w:rPr>
                <w:rFonts w:ascii="Aptos" w:hAnsi="Aptos" w:cstheme="minorHAnsi"/>
                <w:color w:val="231F20"/>
              </w:rPr>
            </w:pPr>
            <w:r w:rsidRPr="00492CCC">
              <w:rPr>
                <w:rFonts w:ascii="Aptos" w:hAnsi="Aptos" w:cstheme="minorHAnsi"/>
                <w:color w:val="231F20"/>
              </w:rPr>
              <w:t>First (</w:t>
            </w:r>
            <w:r w:rsidRPr="00492CCC">
              <w:rPr>
                <w:rFonts w:ascii="Aptos" w:hAnsi="Aptos" w:cstheme="minorHAnsi"/>
                <w:i/>
                <w:color w:val="231F20"/>
              </w:rPr>
              <w:t xml:space="preserve">n </w:t>
            </w:r>
            <w:r w:rsidRPr="00492CCC">
              <w:rPr>
                <w:rFonts w:ascii="Aptos" w:hAnsi="Aptos" w:cstheme="minorHAnsi"/>
                <w:color w:val="231F20"/>
              </w:rPr>
              <w:t>= 15)</w:t>
            </w:r>
          </w:p>
        </w:tc>
        <w:tc>
          <w:tcPr>
            <w:tcW w:w="895" w:type="pct"/>
            <w:tcBorders>
              <w:top w:val="single" w:sz="8" w:space="0" w:color="auto"/>
              <w:bottom w:val="single" w:sz="8" w:space="0" w:color="auto"/>
            </w:tcBorders>
          </w:tcPr>
          <w:p w14:paraId="707D3515" w14:textId="77777777" w:rsidR="00492CCC" w:rsidRPr="00492CCC" w:rsidRDefault="00492CCC" w:rsidP="009444AC">
            <w:pPr>
              <w:pStyle w:val="TableParagraph"/>
              <w:spacing w:line="240" w:lineRule="auto"/>
              <w:contextualSpacing/>
              <w:rPr>
                <w:rFonts w:ascii="Aptos" w:hAnsi="Aptos" w:cstheme="minorHAnsi"/>
                <w:color w:val="231F20"/>
              </w:rPr>
            </w:pPr>
            <w:r w:rsidRPr="00492CCC">
              <w:rPr>
                <w:rFonts w:ascii="Aptos" w:hAnsi="Aptos" w:cstheme="minorHAnsi"/>
                <w:color w:val="231F20"/>
              </w:rPr>
              <w:t>Second (</w:t>
            </w:r>
            <w:r w:rsidRPr="00492CCC">
              <w:rPr>
                <w:rFonts w:ascii="Aptos" w:hAnsi="Aptos" w:cstheme="minorHAnsi"/>
                <w:i/>
                <w:color w:val="231F20"/>
              </w:rPr>
              <w:t xml:space="preserve">n </w:t>
            </w:r>
            <w:r w:rsidRPr="00492CCC">
              <w:rPr>
                <w:rFonts w:ascii="Aptos" w:hAnsi="Aptos" w:cstheme="minorHAnsi"/>
                <w:color w:val="231F20"/>
              </w:rPr>
              <w:t>= 28)</w:t>
            </w:r>
          </w:p>
        </w:tc>
        <w:tc>
          <w:tcPr>
            <w:tcW w:w="895" w:type="pct"/>
            <w:tcBorders>
              <w:top w:val="single" w:sz="8" w:space="0" w:color="auto"/>
              <w:bottom w:val="single" w:sz="8" w:space="0" w:color="auto"/>
            </w:tcBorders>
          </w:tcPr>
          <w:p w14:paraId="0E6A523B" w14:textId="77777777" w:rsidR="00492CCC" w:rsidRPr="00492CCC" w:rsidRDefault="00492CCC" w:rsidP="009444AC">
            <w:pPr>
              <w:pStyle w:val="TableParagraph"/>
              <w:spacing w:line="240" w:lineRule="auto"/>
              <w:contextualSpacing/>
              <w:rPr>
                <w:rFonts w:ascii="Aptos" w:hAnsi="Aptos" w:cstheme="minorHAnsi"/>
                <w:color w:val="231F20"/>
              </w:rPr>
            </w:pPr>
            <w:r w:rsidRPr="00492CCC">
              <w:rPr>
                <w:rFonts w:ascii="Aptos" w:hAnsi="Aptos" w:cstheme="minorHAnsi"/>
                <w:color w:val="231F20"/>
              </w:rPr>
              <w:t>Third (</w:t>
            </w:r>
            <w:r w:rsidRPr="00492CCC">
              <w:rPr>
                <w:rFonts w:ascii="Aptos" w:hAnsi="Aptos" w:cstheme="minorHAnsi"/>
                <w:i/>
                <w:color w:val="231F20"/>
              </w:rPr>
              <w:t xml:space="preserve">n </w:t>
            </w:r>
            <w:r w:rsidRPr="00492CCC">
              <w:rPr>
                <w:rFonts w:ascii="Aptos" w:hAnsi="Aptos" w:cstheme="minorHAnsi"/>
                <w:color w:val="231F20"/>
              </w:rPr>
              <w:t>= 18)</w:t>
            </w:r>
          </w:p>
        </w:tc>
        <w:tc>
          <w:tcPr>
            <w:tcW w:w="669" w:type="pct"/>
            <w:vMerge/>
            <w:tcBorders>
              <w:bottom w:val="single" w:sz="8" w:space="0" w:color="auto"/>
            </w:tcBorders>
          </w:tcPr>
          <w:p w14:paraId="1FE14E9E" w14:textId="77777777" w:rsidR="00492CCC" w:rsidRPr="00492CCC" w:rsidRDefault="00492CCC" w:rsidP="009444AC">
            <w:pPr>
              <w:spacing w:line="240" w:lineRule="auto"/>
              <w:contextualSpacing/>
              <w:jc w:val="center"/>
              <w:rPr>
                <w:rFonts w:cstheme="minorHAnsi"/>
              </w:rPr>
            </w:pPr>
          </w:p>
        </w:tc>
      </w:tr>
      <w:tr w:rsidR="00492CCC" w:rsidRPr="00492CCC" w14:paraId="24FB4E0E" w14:textId="77777777" w:rsidTr="009444AC">
        <w:trPr>
          <w:trHeight w:val="415"/>
        </w:trPr>
        <w:tc>
          <w:tcPr>
            <w:tcW w:w="1647" w:type="pct"/>
            <w:tcBorders>
              <w:top w:val="single" w:sz="8" w:space="0" w:color="auto"/>
            </w:tcBorders>
          </w:tcPr>
          <w:p w14:paraId="712C7DFF" w14:textId="77777777" w:rsidR="00492CCC" w:rsidRPr="00492CCC" w:rsidRDefault="00492CCC" w:rsidP="009444AC">
            <w:pPr>
              <w:pStyle w:val="TableParagraph"/>
              <w:spacing w:line="240" w:lineRule="auto"/>
              <w:contextualSpacing/>
              <w:jc w:val="left"/>
              <w:rPr>
                <w:rFonts w:ascii="Aptos" w:hAnsi="Aptos" w:cstheme="minorHAnsi"/>
              </w:rPr>
            </w:pPr>
            <w:r w:rsidRPr="00492CCC">
              <w:rPr>
                <w:rFonts w:ascii="Aptos" w:hAnsi="Aptos" w:cstheme="minorHAnsi"/>
                <w:color w:val="231F20"/>
              </w:rPr>
              <w:t xml:space="preserve">Age, </w:t>
            </w:r>
            <w:r w:rsidRPr="00492CCC">
              <w:rPr>
                <w:rFonts w:ascii="Aptos" w:hAnsi="Aptos" w:cstheme="minorHAnsi"/>
                <w:i/>
                <w:color w:val="231F20"/>
              </w:rPr>
              <w:t xml:space="preserve">M </w:t>
            </w:r>
            <w:r w:rsidRPr="00492CCC">
              <w:rPr>
                <w:rFonts w:ascii="Aptos" w:hAnsi="Aptos" w:cstheme="minorHAnsi"/>
                <w:color w:val="231F20"/>
              </w:rPr>
              <w:t>(</w:t>
            </w:r>
            <w:r w:rsidRPr="00492CCC">
              <w:rPr>
                <w:rFonts w:ascii="Aptos" w:hAnsi="Aptos" w:cstheme="minorHAnsi"/>
                <w:i/>
                <w:color w:val="231F20"/>
              </w:rPr>
              <w:t>SD</w:t>
            </w:r>
            <w:r w:rsidRPr="00492CCC">
              <w:rPr>
                <w:rFonts w:ascii="Aptos" w:hAnsi="Aptos" w:cstheme="minorHAnsi"/>
                <w:color w:val="231F20"/>
              </w:rPr>
              <w:t>)</w:t>
            </w:r>
          </w:p>
        </w:tc>
        <w:tc>
          <w:tcPr>
            <w:tcW w:w="894" w:type="pct"/>
            <w:tcBorders>
              <w:top w:val="single" w:sz="8" w:space="0" w:color="auto"/>
            </w:tcBorders>
          </w:tcPr>
          <w:p w14:paraId="52EA9B1E"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20.5 (1.6)</w:t>
            </w:r>
          </w:p>
        </w:tc>
        <w:tc>
          <w:tcPr>
            <w:tcW w:w="895" w:type="pct"/>
            <w:tcBorders>
              <w:top w:val="single" w:sz="8" w:space="0" w:color="auto"/>
            </w:tcBorders>
          </w:tcPr>
          <w:p w14:paraId="0D4DB4EE"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22.6 (8.1)</w:t>
            </w:r>
          </w:p>
        </w:tc>
        <w:tc>
          <w:tcPr>
            <w:tcW w:w="895" w:type="pct"/>
            <w:tcBorders>
              <w:top w:val="single" w:sz="8" w:space="0" w:color="auto"/>
            </w:tcBorders>
          </w:tcPr>
          <w:p w14:paraId="7922B891"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21.4 (3.0)</w:t>
            </w:r>
          </w:p>
        </w:tc>
        <w:tc>
          <w:tcPr>
            <w:tcW w:w="669" w:type="pct"/>
            <w:tcBorders>
              <w:top w:val="single" w:sz="8" w:space="0" w:color="auto"/>
            </w:tcBorders>
          </w:tcPr>
          <w:p w14:paraId="440F9606" w14:textId="77777777" w:rsidR="00492CCC" w:rsidRPr="00492CCC" w:rsidRDefault="00492CCC" w:rsidP="009444AC">
            <w:pPr>
              <w:pStyle w:val="TableParagraph"/>
              <w:spacing w:line="240" w:lineRule="auto"/>
              <w:contextualSpacing/>
              <w:rPr>
                <w:rFonts w:ascii="Aptos" w:hAnsi="Aptos" w:cstheme="minorHAnsi"/>
              </w:rPr>
            </w:pPr>
          </w:p>
        </w:tc>
      </w:tr>
      <w:tr w:rsidR="00492CCC" w:rsidRPr="00492CCC" w14:paraId="02B4A7AA" w14:textId="77777777" w:rsidTr="009444AC">
        <w:trPr>
          <w:trHeight w:val="333"/>
        </w:trPr>
        <w:tc>
          <w:tcPr>
            <w:tcW w:w="1647" w:type="pct"/>
          </w:tcPr>
          <w:p w14:paraId="57EE3BD0" w14:textId="77777777" w:rsidR="00492CCC" w:rsidRPr="00492CCC" w:rsidRDefault="00492CCC" w:rsidP="009444AC">
            <w:pPr>
              <w:pStyle w:val="TableParagraph"/>
              <w:spacing w:line="240" w:lineRule="auto"/>
              <w:contextualSpacing/>
              <w:jc w:val="left"/>
              <w:rPr>
                <w:rFonts w:ascii="Aptos" w:hAnsi="Aptos" w:cstheme="minorHAnsi"/>
                <w:color w:val="231F20"/>
              </w:rPr>
            </w:pPr>
            <w:r w:rsidRPr="00492CCC">
              <w:rPr>
                <w:rFonts w:ascii="Aptos" w:hAnsi="Aptos" w:cstheme="minorHAnsi"/>
                <w:color w:val="231F20"/>
              </w:rPr>
              <w:t>Ethnicity or race</w:t>
            </w:r>
          </w:p>
        </w:tc>
        <w:tc>
          <w:tcPr>
            <w:tcW w:w="894" w:type="pct"/>
          </w:tcPr>
          <w:p w14:paraId="69797466" w14:textId="77777777" w:rsidR="00492CCC" w:rsidRPr="00492CCC" w:rsidRDefault="00492CCC" w:rsidP="009444AC">
            <w:pPr>
              <w:pStyle w:val="TableParagraph"/>
              <w:spacing w:line="240" w:lineRule="auto"/>
              <w:contextualSpacing/>
              <w:rPr>
                <w:rFonts w:ascii="Aptos" w:hAnsi="Aptos" w:cstheme="minorHAnsi"/>
                <w:color w:val="231F20"/>
              </w:rPr>
            </w:pPr>
          </w:p>
        </w:tc>
        <w:tc>
          <w:tcPr>
            <w:tcW w:w="895" w:type="pct"/>
          </w:tcPr>
          <w:p w14:paraId="73736516" w14:textId="77777777" w:rsidR="00492CCC" w:rsidRPr="00492CCC" w:rsidRDefault="00492CCC" w:rsidP="009444AC">
            <w:pPr>
              <w:pStyle w:val="TableParagraph"/>
              <w:spacing w:line="240" w:lineRule="auto"/>
              <w:contextualSpacing/>
              <w:rPr>
                <w:rFonts w:ascii="Aptos" w:hAnsi="Aptos" w:cstheme="minorHAnsi"/>
                <w:color w:val="231F20"/>
              </w:rPr>
            </w:pPr>
          </w:p>
        </w:tc>
        <w:tc>
          <w:tcPr>
            <w:tcW w:w="895" w:type="pct"/>
          </w:tcPr>
          <w:p w14:paraId="2CF9FCBF" w14:textId="77777777" w:rsidR="00492CCC" w:rsidRPr="00492CCC" w:rsidRDefault="00492CCC" w:rsidP="009444AC">
            <w:pPr>
              <w:pStyle w:val="TableParagraph"/>
              <w:spacing w:line="240" w:lineRule="auto"/>
              <w:contextualSpacing/>
              <w:rPr>
                <w:rFonts w:ascii="Aptos" w:hAnsi="Aptos" w:cstheme="minorHAnsi"/>
                <w:color w:val="231F20"/>
              </w:rPr>
            </w:pPr>
          </w:p>
        </w:tc>
        <w:tc>
          <w:tcPr>
            <w:tcW w:w="669" w:type="pct"/>
          </w:tcPr>
          <w:p w14:paraId="0D61F9B1" w14:textId="77777777" w:rsidR="00492CCC" w:rsidRPr="00492CCC" w:rsidRDefault="00492CCC" w:rsidP="009444AC">
            <w:pPr>
              <w:pStyle w:val="TableParagraph"/>
              <w:spacing w:line="240" w:lineRule="auto"/>
              <w:contextualSpacing/>
              <w:rPr>
                <w:rFonts w:ascii="Aptos" w:hAnsi="Aptos" w:cstheme="minorHAnsi"/>
              </w:rPr>
            </w:pPr>
          </w:p>
        </w:tc>
      </w:tr>
      <w:tr w:rsidR="00492CCC" w:rsidRPr="00492CCC" w14:paraId="66ADA967" w14:textId="77777777" w:rsidTr="009444AC">
        <w:trPr>
          <w:trHeight w:val="190"/>
        </w:trPr>
        <w:tc>
          <w:tcPr>
            <w:tcW w:w="1647" w:type="pct"/>
          </w:tcPr>
          <w:p w14:paraId="6790C640" w14:textId="77777777" w:rsidR="00492CCC" w:rsidRPr="00492CCC" w:rsidRDefault="00492CCC" w:rsidP="009444AC">
            <w:pPr>
              <w:pStyle w:val="TableParagraph"/>
              <w:spacing w:line="240" w:lineRule="auto"/>
              <w:ind w:left="216"/>
              <w:contextualSpacing/>
              <w:jc w:val="left"/>
              <w:rPr>
                <w:rFonts w:ascii="Aptos" w:hAnsi="Aptos" w:cstheme="minorHAnsi"/>
              </w:rPr>
            </w:pPr>
            <w:r w:rsidRPr="00492CCC">
              <w:rPr>
                <w:rFonts w:ascii="Aptos" w:hAnsi="Aptos" w:cstheme="minorHAnsi"/>
                <w:color w:val="231F20"/>
              </w:rPr>
              <w:t>Black or African American</w:t>
            </w:r>
          </w:p>
        </w:tc>
        <w:tc>
          <w:tcPr>
            <w:tcW w:w="894" w:type="pct"/>
          </w:tcPr>
          <w:p w14:paraId="38126683"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14</w:t>
            </w:r>
          </w:p>
        </w:tc>
        <w:tc>
          <w:tcPr>
            <w:tcW w:w="895" w:type="pct"/>
          </w:tcPr>
          <w:p w14:paraId="34F3713A"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23</w:t>
            </w:r>
          </w:p>
        </w:tc>
        <w:tc>
          <w:tcPr>
            <w:tcW w:w="895" w:type="pct"/>
          </w:tcPr>
          <w:p w14:paraId="7A4B9C67"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15</w:t>
            </w:r>
          </w:p>
        </w:tc>
        <w:tc>
          <w:tcPr>
            <w:tcW w:w="669" w:type="pct"/>
          </w:tcPr>
          <w:p w14:paraId="41BC0F8F"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52</w:t>
            </w:r>
          </w:p>
        </w:tc>
      </w:tr>
      <w:tr w:rsidR="00492CCC" w:rsidRPr="00492CCC" w14:paraId="52B24DA4" w14:textId="77777777" w:rsidTr="009444AC">
        <w:trPr>
          <w:trHeight w:val="184"/>
        </w:trPr>
        <w:tc>
          <w:tcPr>
            <w:tcW w:w="1647" w:type="pct"/>
          </w:tcPr>
          <w:p w14:paraId="2F48C70F" w14:textId="77777777" w:rsidR="00492CCC" w:rsidRPr="00492CCC" w:rsidRDefault="00492CCC" w:rsidP="009444AC">
            <w:pPr>
              <w:pStyle w:val="TableParagraph"/>
              <w:spacing w:line="240" w:lineRule="auto"/>
              <w:ind w:left="216"/>
              <w:contextualSpacing/>
              <w:jc w:val="left"/>
              <w:rPr>
                <w:rFonts w:ascii="Aptos" w:hAnsi="Aptos" w:cstheme="minorHAnsi"/>
              </w:rPr>
            </w:pPr>
            <w:r w:rsidRPr="00492CCC">
              <w:rPr>
                <w:rFonts w:ascii="Aptos" w:hAnsi="Aptos" w:cstheme="minorHAnsi"/>
                <w:color w:val="231F20"/>
              </w:rPr>
              <w:t>White or European American</w:t>
            </w:r>
          </w:p>
        </w:tc>
        <w:tc>
          <w:tcPr>
            <w:tcW w:w="894" w:type="pct"/>
          </w:tcPr>
          <w:p w14:paraId="160960D8"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rPr>
              <w:t>0</w:t>
            </w:r>
          </w:p>
        </w:tc>
        <w:tc>
          <w:tcPr>
            <w:tcW w:w="895" w:type="pct"/>
          </w:tcPr>
          <w:p w14:paraId="00D50282"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3</w:t>
            </w:r>
          </w:p>
        </w:tc>
        <w:tc>
          <w:tcPr>
            <w:tcW w:w="895" w:type="pct"/>
          </w:tcPr>
          <w:p w14:paraId="06CDE602"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rPr>
              <w:t>0</w:t>
            </w:r>
          </w:p>
        </w:tc>
        <w:tc>
          <w:tcPr>
            <w:tcW w:w="669" w:type="pct"/>
          </w:tcPr>
          <w:p w14:paraId="23FD97B9"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3</w:t>
            </w:r>
          </w:p>
        </w:tc>
      </w:tr>
      <w:tr w:rsidR="00492CCC" w:rsidRPr="00492CCC" w14:paraId="01067902" w14:textId="77777777" w:rsidTr="009444AC">
        <w:trPr>
          <w:trHeight w:val="195"/>
        </w:trPr>
        <w:tc>
          <w:tcPr>
            <w:tcW w:w="1647" w:type="pct"/>
          </w:tcPr>
          <w:p w14:paraId="1D595BF8" w14:textId="77777777" w:rsidR="00492CCC" w:rsidRPr="00492CCC" w:rsidRDefault="00492CCC" w:rsidP="009444AC">
            <w:pPr>
              <w:pStyle w:val="TableParagraph"/>
              <w:spacing w:line="240" w:lineRule="auto"/>
              <w:ind w:left="216"/>
              <w:contextualSpacing/>
              <w:jc w:val="left"/>
              <w:rPr>
                <w:rFonts w:ascii="Aptos" w:hAnsi="Aptos" w:cstheme="minorHAnsi"/>
              </w:rPr>
            </w:pPr>
            <w:proofErr w:type="gramStart"/>
            <w:r w:rsidRPr="00492CCC">
              <w:rPr>
                <w:rFonts w:ascii="Aptos" w:hAnsi="Aptos" w:cstheme="minorHAnsi"/>
                <w:color w:val="231F20"/>
              </w:rPr>
              <w:t>Other</w:t>
            </w:r>
            <w:proofErr w:type="gramEnd"/>
            <w:r w:rsidRPr="00492CCC">
              <w:rPr>
                <w:rFonts w:ascii="Aptos" w:hAnsi="Aptos" w:cstheme="minorHAnsi"/>
                <w:color w:val="231F20"/>
                <w:vertAlign w:val="superscript"/>
              </w:rPr>
              <w:t xml:space="preserve"> a</w:t>
            </w:r>
          </w:p>
        </w:tc>
        <w:tc>
          <w:tcPr>
            <w:tcW w:w="894" w:type="pct"/>
          </w:tcPr>
          <w:p w14:paraId="0829EA8D"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1</w:t>
            </w:r>
          </w:p>
        </w:tc>
        <w:tc>
          <w:tcPr>
            <w:tcW w:w="895" w:type="pct"/>
          </w:tcPr>
          <w:p w14:paraId="4B17D234"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2</w:t>
            </w:r>
          </w:p>
        </w:tc>
        <w:tc>
          <w:tcPr>
            <w:tcW w:w="895" w:type="pct"/>
          </w:tcPr>
          <w:p w14:paraId="6BE7EA75"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3</w:t>
            </w:r>
          </w:p>
        </w:tc>
        <w:tc>
          <w:tcPr>
            <w:tcW w:w="669" w:type="pct"/>
          </w:tcPr>
          <w:p w14:paraId="3B1A74FA"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6</w:t>
            </w:r>
          </w:p>
        </w:tc>
      </w:tr>
      <w:tr w:rsidR="00492CCC" w:rsidRPr="00492CCC" w14:paraId="2DF2D523" w14:textId="77777777" w:rsidTr="009444AC">
        <w:trPr>
          <w:trHeight w:val="184"/>
        </w:trPr>
        <w:tc>
          <w:tcPr>
            <w:tcW w:w="1647" w:type="pct"/>
          </w:tcPr>
          <w:p w14:paraId="705D0190" w14:textId="77777777" w:rsidR="00492CCC" w:rsidRPr="00492CCC" w:rsidRDefault="00492CCC" w:rsidP="009444AC">
            <w:pPr>
              <w:pStyle w:val="TableParagraph"/>
              <w:spacing w:line="240" w:lineRule="auto"/>
              <w:contextualSpacing/>
              <w:jc w:val="left"/>
              <w:rPr>
                <w:rFonts w:ascii="Aptos" w:hAnsi="Aptos" w:cstheme="minorHAnsi"/>
              </w:rPr>
            </w:pPr>
            <w:r w:rsidRPr="00492CCC">
              <w:rPr>
                <w:rFonts w:ascii="Aptos" w:hAnsi="Aptos" w:cstheme="minorHAnsi"/>
                <w:color w:val="231F20"/>
              </w:rPr>
              <w:t>Gender</w:t>
            </w:r>
          </w:p>
        </w:tc>
        <w:tc>
          <w:tcPr>
            <w:tcW w:w="894" w:type="pct"/>
          </w:tcPr>
          <w:p w14:paraId="3B11E83A" w14:textId="77777777" w:rsidR="00492CCC" w:rsidRPr="00492CCC" w:rsidRDefault="00492CCC" w:rsidP="009444AC">
            <w:pPr>
              <w:pStyle w:val="TableParagraph"/>
              <w:spacing w:line="240" w:lineRule="auto"/>
              <w:contextualSpacing/>
              <w:rPr>
                <w:rFonts w:ascii="Aptos" w:hAnsi="Aptos" w:cstheme="minorHAnsi"/>
              </w:rPr>
            </w:pPr>
          </w:p>
        </w:tc>
        <w:tc>
          <w:tcPr>
            <w:tcW w:w="895" w:type="pct"/>
          </w:tcPr>
          <w:p w14:paraId="3906C247" w14:textId="77777777" w:rsidR="00492CCC" w:rsidRPr="00492CCC" w:rsidRDefault="00492CCC" w:rsidP="009444AC">
            <w:pPr>
              <w:pStyle w:val="TableParagraph"/>
              <w:spacing w:line="240" w:lineRule="auto"/>
              <w:contextualSpacing/>
              <w:rPr>
                <w:rFonts w:ascii="Aptos" w:hAnsi="Aptos" w:cstheme="minorHAnsi"/>
              </w:rPr>
            </w:pPr>
          </w:p>
        </w:tc>
        <w:tc>
          <w:tcPr>
            <w:tcW w:w="895" w:type="pct"/>
          </w:tcPr>
          <w:p w14:paraId="5357E307" w14:textId="77777777" w:rsidR="00492CCC" w:rsidRPr="00492CCC" w:rsidRDefault="00492CCC" w:rsidP="009444AC">
            <w:pPr>
              <w:pStyle w:val="TableParagraph"/>
              <w:spacing w:line="240" w:lineRule="auto"/>
              <w:contextualSpacing/>
              <w:rPr>
                <w:rFonts w:ascii="Aptos" w:hAnsi="Aptos" w:cstheme="minorHAnsi"/>
              </w:rPr>
            </w:pPr>
          </w:p>
        </w:tc>
        <w:tc>
          <w:tcPr>
            <w:tcW w:w="669" w:type="pct"/>
          </w:tcPr>
          <w:p w14:paraId="6DAD5716" w14:textId="77777777" w:rsidR="00492CCC" w:rsidRPr="00492CCC" w:rsidRDefault="00492CCC" w:rsidP="009444AC">
            <w:pPr>
              <w:pStyle w:val="TableParagraph"/>
              <w:spacing w:line="240" w:lineRule="auto"/>
              <w:contextualSpacing/>
              <w:rPr>
                <w:rFonts w:ascii="Aptos" w:hAnsi="Aptos" w:cstheme="minorHAnsi"/>
              </w:rPr>
            </w:pPr>
          </w:p>
        </w:tc>
      </w:tr>
      <w:tr w:rsidR="00492CCC" w:rsidRPr="00492CCC" w14:paraId="2BA1DCB8" w14:textId="77777777" w:rsidTr="009444AC">
        <w:trPr>
          <w:trHeight w:val="195"/>
        </w:trPr>
        <w:tc>
          <w:tcPr>
            <w:tcW w:w="1647" w:type="pct"/>
          </w:tcPr>
          <w:p w14:paraId="57E77A27" w14:textId="77777777" w:rsidR="00492CCC" w:rsidRPr="00492CCC" w:rsidRDefault="00492CCC" w:rsidP="009444AC">
            <w:pPr>
              <w:pStyle w:val="TableParagraph"/>
              <w:spacing w:line="240" w:lineRule="auto"/>
              <w:ind w:left="216"/>
              <w:contextualSpacing/>
              <w:jc w:val="left"/>
              <w:rPr>
                <w:rFonts w:ascii="Aptos" w:hAnsi="Aptos" w:cstheme="minorHAnsi"/>
              </w:rPr>
            </w:pPr>
            <w:r w:rsidRPr="00492CCC">
              <w:rPr>
                <w:rFonts w:ascii="Aptos" w:hAnsi="Aptos" w:cstheme="minorHAnsi"/>
                <w:color w:val="231F20"/>
              </w:rPr>
              <w:t>Female</w:t>
            </w:r>
          </w:p>
        </w:tc>
        <w:tc>
          <w:tcPr>
            <w:tcW w:w="894" w:type="pct"/>
          </w:tcPr>
          <w:p w14:paraId="66460D39"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11</w:t>
            </w:r>
          </w:p>
        </w:tc>
        <w:tc>
          <w:tcPr>
            <w:tcW w:w="895" w:type="pct"/>
          </w:tcPr>
          <w:p w14:paraId="2876227E"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22</w:t>
            </w:r>
          </w:p>
        </w:tc>
        <w:tc>
          <w:tcPr>
            <w:tcW w:w="895" w:type="pct"/>
          </w:tcPr>
          <w:p w14:paraId="57160CFF"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15</w:t>
            </w:r>
          </w:p>
        </w:tc>
        <w:tc>
          <w:tcPr>
            <w:tcW w:w="669" w:type="pct"/>
          </w:tcPr>
          <w:p w14:paraId="03FD6895"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48</w:t>
            </w:r>
          </w:p>
        </w:tc>
      </w:tr>
      <w:tr w:rsidR="00492CCC" w:rsidRPr="00492CCC" w14:paraId="6A049969" w14:textId="77777777" w:rsidTr="009444AC">
        <w:trPr>
          <w:trHeight w:val="184"/>
        </w:trPr>
        <w:tc>
          <w:tcPr>
            <w:tcW w:w="1647" w:type="pct"/>
          </w:tcPr>
          <w:p w14:paraId="7B9D4858" w14:textId="77777777" w:rsidR="00492CCC" w:rsidRPr="00492CCC" w:rsidRDefault="00492CCC" w:rsidP="009444AC">
            <w:pPr>
              <w:pStyle w:val="TableParagraph"/>
              <w:spacing w:line="240" w:lineRule="auto"/>
              <w:ind w:left="216"/>
              <w:contextualSpacing/>
              <w:jc w:val="left"/>
              <w:rPr>
                <w:rFonts w:ascii="Aptos" w:hAnsi="Aptos" w:cstheme="minorHAnsi"/>
              </w:rPr>
            </w:pPr>
            <w:r w:rsidRPr="00492CCC">
              <w:rPr>
                <w:rFonts w:ascii="Aptos" w:hAnsi="Aptos" w:cstheme="minorHAnsi"/>
                <w:color w:val="231F20"/>
              </w:rPr>
              <w:t>Male</w:t>
            </w:r>
          </w:p>
        </w:tc>
        <w:tc>
          <w:tcPr>
            <w:tcW w:w="894" w:type="pct"/>
          </w:tcPr>
          <w:p w14:paraId="5BED5F70"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4</w:t>
            </w:r>
          </w:p>
        </w:tc>
        <w:tc>
          <w:tcPr>
            <w:tcW w:w="895" w:type="pct"/>
          </w:tcPr>
          <w:p w14:paraId="3C73351D"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6</w:t>
            </w:r>
          </w:p>
        </w:tc>
        <w:tc>
          <w:tcPr>
            <w:tcW w:w="895" w:type="pct"/>
          </w:tcPr>
          <w:p w14:paraId="2AC962D1"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3</w:t>
            </w:r>
          </w:p>
        </w:tc>
        <w:tc>
          <w:tcPr>
            <w:tcW w:w="669" w:type="pct"/>
          </w:tcPr>
          <w:p w14:paraId="0AE0B822"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13</w:t>
            </w:r>
          </w:p>
        </w:tc>
      </w:tr>
      <w:tr w:rsidR="00492CCC" w:rsidRPr="00492CCC" w14:paraId="72895C5E" w14:textId="77777777" w:rsidTr="009444AC">
        <w:trPr>
          <w:trHeight w:val="189"/>
        </w:trPr>
        <w:tc>
          <w:tcPr>
            <w:tcW w:w="1647" w:type="pct"/>
          </w:tcPr>
          <w:p w14:paraId="4D7E3FAA" w14:textId="77777777" w:rsidR="00492CCC" w:rsidRPr="00492CCC" w:rsidRDefault="00492CCC" w:rsidP="009444AC">
            <w:pPr>
              <w:pStyle w:val="TableParagraph"/>
              <w:spacing w:line="240" w:lineRule="auto"/>
              <w:contextualSpacing/>
              <w:jc w:val="left"/>
              <w:rPr>
                <w:rFonts w:ascii="Aptos" w:hAnsi="Aptos" w:cstheme="minorHAnsi"/>
              </w:rPr>
            </w:pPr>
            <w:r w:rsidRPr="00492CCC">
              <w:rPr>
                <w:rFonts w:ascii="Aptos" w:hAnsi="Aptos" w:cstheme="minorHAnsi"/>
                <w:color w:val="231F20"/>
              </w:rPr>
              <w:t>Grade level</w:t>
            </w:r>
            <w:r w:rsidRPr="00492CCC">
              <w:rPr>
                <w:rFonts w:ascii="Aptos" w:hAnsi="Aptos" w:cstheme="minorHAnsi"/>
                <w:color w:val="231F20"/>
                <w:vertAlign w:val="superscript"/>
              </w:rPr>
              <w:t xml:space="preserve"> b</w:t>
            </w:r>
          </w:p>
        </w:tc>
        <w:tc>
          <w:tcPr>
            <w:tcW w:w="894" w:type="pct"/>
          </w:tcPr>
          <w:p w14:paraId="7F5D3385" w14:textId="77777777" w:rsidR="00492CCC" w:rsidRPr="00492CCC" w:rsidRDefault="00492CCC" w:rsidP="009444AC">
            <w:pPr>
              <w:pStyle w:val="TableParagraph"/>
              <w:spacing w:line="240" w:lineRule="auto"/>
              <w:contextualSpacing/>
              <w:rPr>
                <w:rFonts w:ascii="Aptos" w:hAnsi="Aptos" w:cstheme="minorHAnsi"/>
              </w:rPr>
            </w:pPr>
          </w:p>
        </w:tc>
        <w:tc>
          <w:tcPr>
            <w:tcW w:w="895" w:type="pct"/>
          </w:tcPr>
          <w:p w14:paraId="358E828F" w14:textId="77777777" w:rsidR="00492CCC" w:rsidRPr="00492CCC" w:rsidRDefault="00492CCC" w:rsidP="009444AC">
            <w:pPr>
              <w:pStyle w:val="TableParagraph"/>
              <w:spacing w:line="240" w:lineRule="auto"/>
              <w:contextualSpacing/>
              <w:rPr>
                <w:rFonts w:ascii="Aptos" w:hAnsi="Aptos" w:cstheme="minorHAnsi"/>
              </w:rPr>
            </w:pPr>
          </w:p>
        </w:tc>
        <w:tc>
          <w:tcPr>
            <w:tcW w:w="895" w:type="pct"/>
          </w:tcPr>
          <w:p w14:paraId="37336A90" w14:textId="77777777" w:rsidR="00492CCC" w:rsidRPr="00492CCC" w:rsidRDefault="00492CCC" w:rsidP="009444AC">
            <w:pPr>
              <w:pStyle w:val="TableParagraph"/>
              <w:spacing w:line="240" w:lineRule="auto"/>
              <w:contextualSpacing/>
              <w:rPr>
                <w:rFonts w:ascii="Aptos" w:hAnsi="Aptos" w:cstheme="minorHAnsi"/>
              </w:rPr>
            </w:pPr>
          </w:p>
        </w:tc>
        <w:tc>
          <w:tcPr>
            <w:tcW w:w="669" w:type="pct"/>
          </w:tcPr>
          <w:p w14:paraId="4A8BDC25" w14:textId="77777777" w:rsidR="00492CCC" w:rsidRPr="00492CCC" w:rsidRDefault="00492CCC" w:rsidP="009444AC">
            <w:pPr>
              <w:pStyle w:val="TableParagraph"/>
              <w:spacing w:line="240" w:lineRule="auto"/>
              <w:contextualSpacing/>
              <w:rPr>
                <w:rFonts w:ascii="Aptos" w:hAnsi="Aptos" w:cstheme="minorHAnsi"/>
              </w:rPr>
            </w:pPr>
          </w:p>
        </w:tc>
      </w:tr>
      <w:tr w:rsidR="00492CCC" w:rsidRPr="00492CCC" w14:paraId="197C11A9" w14:textId="77777777" w:rsidTr="009444AC">
        <w:trPr>
          <w:trHeight w:val="195"/>
        </w:trPr>
        <w:tc>
          <w:tcPr>
            <w:tcW w:w="1647" w:type="pct"/>
          </w:tcPr>
          <w:p w14:paraId="1AA975B1" w14:textId="77777777" w:rsidR="00492CCC" w:rsidRPr="00492CCC" w:rsidRDefault="00492CCC" w:rsidP="009444AC">
            <w:pPr>
              <w:pStyle w:val="TableParagraph"/>
              <w:spacing w:line="240" w:lineRule="auto"/>
              <w:ind w:left="216"/>
              <w:contextualSpacing/>
              <w:jc w:val="left"/>
              <w:rPr>
                <w:rFonts w:ascii="Aptos" w:hAnsi="Aptos" w:cstheme="minorHAnsi"/>
              </w:rPr>
            </w:pPr>
            <w:r w:rsidRPr="00492CCC">
              <w:rPr>
                <w:rFonts w:ascii="Aptos" w:hAnsi="Aptos" w:cstheme="minorHAnsi"/>
                <w:color w:val="231F20"/>
              </w:rPr>
              <w:t>Senior</w:t>
            </w:r>
          </w:p>
        </w:tc>
        <w:tc>
          <w:tcPr>
            <w:tcW w:w="894" w:type="pct"/>
          </w:tcPr>
          <w:p w14:paraId="7214BE5F"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9</w:t>
            </w:r>
          </w:p>
        </w:tc>
        <w:tc>
          <w:tcPr>
            <w:tcW w:w="895" w:type="pct"/>
          </w:tcPr>
          <w:p w14:paraId="20D82FC2"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16</w:t>
            </w:r>
          </w:p>
        </w:tc>
        <w:tc>
          <w:tcPr>
            <w:tcW w:w="895" w:type="pct"/>
          </w:tcPr>
          <w:p w14:paraId="20ACF906"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3</w:t>
            </w:r>
          </w:p>
        </w:tc>
        <w:tc>
          <w:tcPr>
            <w:tcW w:w="669" w:type="pct"/>
          </w:tcPr>
          <w:p w14:paraId="26DA22F6"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28</w:t>
            </w:r>
          </w:p>
        </w:tc>
      </w:tr>
      <w:tr w:rsidR="00492CCC" w:rsidRPr="00492CCC" w14:paraId="05F152D1" w14:textId="77777777" w:rsidTr="009444AC">
        <w:trPr>
          <w:trHeight w:val="190"/>
        </w:trPr>
        <w:tc>
          <w:tcPr>
            <w:tcW w:w="1647" w:type="pct"/>
          </w:tcPr>
          <w:p w14:paraId="47BE2F26" w14:textId="77777777" w:rsidR="00492CCC" w:rsidRPr="00492CCC" w:rsidRDefault="00492CCC" w:rsidP="009444AC">
            <w:pPr>
              <w:pStyle w:val="TableParagraph"/>
              <w:spacing w:line="240" w:lineRule="auto"/>
              <w:ind w:left="216"/>
              <w:contextualSpacing/>
              <w:jc w:val="left"/>
              <w:rPr>
                <w:rFonts w:ascii="Aptos" w:hAnsi="Aptos" w:cstheme="minorHAnsi"/>
              </w:rPr>
            </w:pPr>
            <w:r w:rsidRPr="00492CCC">
              <w:rPr>
                <w:rFonts w:ascii="Aptos" w:hAnsi="Aptos" w:cstheme="minorHAnsi"/>
                <w:color w:val="231F20"/>
              </w:rPr>
              <w:t>Junior</w:t>
            </w:r>
          </w:p>
        </w:tc>
        <w:tc>
          <w:tcPr>
            <w:tcW w:w="894" w:type="pct"/>
          </w:tcPr>
          <w:p w14:paraId="6623ABD4"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4</w:t>
            </w:r>
          </w:p>
        </w:tc>
        <w:tc>
          <w:tcPr>
            <w:tcW w:w="895" w:type="pct"/>
          </w:tcPr>
          <w:p w14:paraId="0183DADB"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8</w:t>
            </w:r>
          </w:p>
        </w:tc>
        <w:tc>
          <w:tcPr>
            <w:tcW w:w="895" w:type="pct"/>
          </w:tcPr>
          <w:p w14:paraId="3A6FBA2F"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12</w:t>
            </w:r>
          </w:p>
        </w:tc>
        <w:tc>
          <w:tcPr>
            <w:tcW w:w="669" w:type="pct"/>
          </w:tcPr>
          <w:p w14:paraId="6B466082"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24</w:t>
            </w:r>
          </w:p>
        </w:tc>
      </w:tr>
      <w:tr w:rsidR="00492CCC" w:rsidRPr="00492CCC" w14:paraId="3882043A" w14:textId="77777777" w:rsidTr="009444AC">
        <w:trPr>
          <w:trHeight w:val="239"/>
        </w:trPr>
        <w:tc>
          <w:tcPr>
            <w:tcW w:w="1647" w:type="pct"/>
            <w:tcBorders>
              <w:bottom w:val="single" w:sz="8" w:space="0" w:color="auto"/>
            </w:tcBorders>
          </w:tcPr>
          <w:p w14:paraId="1602CB82" w14:textId="77777777" w:rsidR="00492CCC" w:rsidRPr="00492CCC" w:rsidRDefault="00492CCC" w:rsidP="009444AC">
            <w:pPr>
              <w:pStyle w:val="TableParagraph"/>
              <w:spacing w:line="240" w:lineRule="auto"/>
              <w:ind w:left="216"/>
              <w:contextualSpacing/>
              <w:jc w:val="left"/>
              <w:rPr>
                <w:rFonts w:ascii="Aptos" w:hAnsi="Aptos" w:cstheme="minorHAnsi"/>
              </w:rPr>
            </w:pPr>
            <w:r w:rsidRPr="00492CCC">
              <w:rPr>
                <w:rFonts w:ascii="Aptos" w:hAnsi="Aptos" w:cstheme="minorHAnsi"/>
                <w:color w:val="231F20"/>
              </w:rPr>
              <w:t>Sophomore</w:t>
            </w:r>
          </w:p>
        </w:tc>
        <w:tc>
          <w:tcPr>
            <w:tcW w:w="894" w:type="pct"/>
            <w:tcBorders>
              <w:bottom w:val="single" w:sz="8" w:space="0" w:color="auto"/>
            </w:tcBorders>
          </w:tcPr>
          <w:p w14:paraId="0445FAD2"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2</w:t>
            </w:r>
          </w:p>
        </w:tc>
        <w:tc>
          <w:tcPr>
            <w:tcW w:w="895" w:type="pct"/>
            <w:tcBorders>
              <w:bottom w:val="single" w:sz="8" w:space="0" w:color="auto"/>
            </w:tcBorders>
          </w:tcPr>
          <w:p w14:paraId="0BB3ED6F"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2</w:t>
            </w:r>
          </w:p>
        </w:tc>
        <w:tc>
          <w:tcPr>
            <w:tcW w:w="895" w:type="pct"/>
            <w:tcBorders>
              <w:bottom w:val="single" w:sz="8" w:space="0" w:color="auto"/>
            </w:tcBorders>
          </w:tcPr>
          <w:p w14:paraId="10A87612"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3</w:t>
            </w:r>
          </w:p>
        </w:tc>
        <w:tc>
          <w:tcPr>
            <w:tcW w:w="669" w:type="pct"/>
            <w:tcBorders>
              <w:bottom w:val="single" w:sz="8" w:space="0" w:color="auto"/>
            </w:tcBorders>
          </w:tcPr>
          <w:p w14:paraId="29C6539A" w14:textId="77777777" w:rsidR="00492CCC" w:rsidRPr="00492CCC" w:rsidRDefault="00492CCC" w:rsidP="009444AC">
            <w:pPr>
              <w:pStyle w:val="TableParagraph"/>
              <w:spacing w:line="240" w:lineRule="auto"/>
              <w:contextualSpacing/>
              <w:rPr>
                <w:rFonts w:ascii="Aptos" w:hAnsi="Aptos" w:cstheme="minorHAnsi"/>
              </w:rPr>
            </w:pPr>
            <w:r w:rsidRPr="00492CCC">
              <w:rPr>
                <w:rFonts w:ascii="Aptos" w:hAnsi="Aptos" w:cstheme="minorHAnsi"/>
                <w:color w:val="231F20"/>
              </w:rPr>
              <w:t>7</w:t>
            </w:r>
          </w:p>
        </w:tc>
      </w:tr>
    </w:tbl>
    <w:p w14:paraId="6EE8F145" w14:textId="77777777" w:rsidR="00492CCC" w:rsidRPr="00492CCC" w:rsidRDefault="00492CCC" w:rsidP="00492CCC">
      <w:pPr>
        <w:spacing w:before="240"/>
        <w:rPr>
          <w:rFonts w:cstheme="minorHAnsi"/>
        </w:rPr>
      </w:pPr>
      <w:proofErr w:type="spellStart"/>
      <w:r w:rsidRPr="00492CCC">
        <w:rPr>
          <w:rFonts w:cstheme="minorHAnsi"/>
          <w:color w:val="231F20"/>
          <w:vertAlign w:val="superscript"/>
        </w:rPr>
        <w:t>a</w:t>
      </w:r>
      <w:proofErr w:type="spellEnd"/>
      <w:r w:rsidRPr="00492CCC">
        <w:rPr>
          <w:rFonts w:cstheme="minorHAnsi"/>
          <w:color w:val="231F20"/>
          <w:vertAlign w:val="superscript"/>
        </w:rPr>
        <w:t xml:space="preserve"> </w:t>
      </w:r>
      <w:r w:rsidRPr="00492CCC">
        <w:rPr>
          <w:rFonts w:cstheme="minorHAnsi"/>
          <w:color w:val="231F20"/>
        </w:rPr>
        <w:t xml:space="preserve">The “other” classification was composed of students who self-identified as Latina, Filipina, or multiracial. </w:t>
      </w:r>
      <w:r w:rsidRPr="00492CCC">
        <w:rPr>
          <w:rFonts w:cstheme="minorHAnsi"/>
          <w:color w:val="231F20"/>
          <w:vertAlign w:val="superscript"/>
        </w:rPr>
        <w:t xml:space="preserve">b </w:t>
      </w:r>
      <w:r w:rsidRPr="00492CCC">
        <w:rPr>
          <w:rFonts w:cstheme="minorHAnsi"/>
          <w:color w:val="231F20"/>
        </w:rPr>
        <w:t>Two students in the second course offering did not provide their grade level.</w:t>
      </w:r>
    </w:p>
    <w:p w14:paraId="126A88B2" w14:textId="77777777" w:rsidR="00492CCC" w:rsidRPr="00492CCC" w:rsidRDefault="00492CCC" w:rsidP="00773B36">
      <w:pPr>
        <w:pStyle w:val="BodyText"/>
        <w:rPr>
          <w:rFonts w:cstheme="minorHAnsi"/>
        </w:rPr>
      </w:pPr>
    </w:p>
    <w:p w14:paraId="1FF32499" w14:textId="77777777" w:rsidR="00454249" w:rsidRPr="00492CCC" w:rsidRDefault="00454249" w:rsidP="00773B36">
      <w:pPr>
        <w:pStyle w:val="Heading2"/>
      </w:pPr>
      <w:r w:rsidRPr="00492CCC">
        <w:t>Course Structure</w:t>
      </w:r>
    </w:p>
    <w:p w14:paraId="4DCFC47E" w14:textId="4CF0412C" w:rsidR="00454249" w:rsidRPr="00492CCC" w:rsidRDefault="00454249" w:rsidP="00492CCC">
      <w:pPr>
        <w:pStyle w:val="BodyText"/>
        <w:rPr>
          <w:rFonts w:cstheme="minorHAnsi"/>
        </w:rPr>
      </w:pPr>
      <w:r w:rsidRPr="00492CCC">
        <w:rPr>
          <w:rFonts w:cstheme="minorHAnsi"/>
          <w:color w:val="231F20"/>
        </w:rPr>
        <w:t xml:space="preserve">The faculty member offered the undergraduate course to different cohorts of students over </w:t>
      </w:r>
      <w:r w:rsidR="00FC739A" w:rsidRPr="00492CCC">
        <w:rPr>
          <w:rFonts w:cstheme="minorHAnsi"/>
          <w:color w:val="231F20"/>
        </w:rPr>
        <w:t>3</w:t>
      </w:r>
      <w:r w:rsidRPr="00492CCC">
        <w:rPr>
          <w:rFonts w:cstheme="minorHAnsi"/>
          <w:color w:val="231F20"/>
        </w:rPr>
        <w:t xml:space="preserve"> subsequent years. Each course </w:t>
      </w:r>
      <w:proofErr w:type="gramStart"/>
      <w:r w:rsidRPr="00492CCC">
        <w:rPr>
          <w:rFonts w:cstheme="minorHAnsi"/>
          <w:color w:val="231F20"/>
        </w:rPr>
        <w:t>offering</w:t>
      </w:r>
      <w:proofErr w:type="gramEnd"/>
      <w:r w:rsidRPr="00492CCC">
        <w:rPr>
          <w:rFonts w:cstheme="minorHAnsi"/>
          <w:color w:val="231F20"/>
        </w:rPr>
        <w:t xml:space="preserve"> met twice a week for 1.5 hr during a 15-week-long spring </w:t>
      </w:r>
      <w:r w:rsidR="00492CCC" w:rsidRPr="00492CCC">
        <w:rPr>
          <w:rFonts w:cstheme="minorHAnsi"/>
          <w:color w:val="231F20"/>
        </w:rPr>
        <w:t>semester.</w:t>
      </w:r>
      <w:r w:rsidR="00492CCC">
        <w:rPr>
          <w:rFonts w:cstheme="minorHAnsi"/>
          <w:color w:val="231F20"/>
        </w:rPr>
        <w:t xml:space="preserve"> </w:t>
      </w:r>
      <w:r w:rsidRPr="00492CCC">
        <w:rPr>
          <w:rFonts w:cstheme="minorHAnsi"/>
          <w:color w:val="231F20"/>
        </w:rPr>
        <w:t xml:space="preserve">The primary structure of the course included readings on principles and competencies </w:t>
      </w:r>
      <w:r w:rsidRPr="00492CCC">
        <w:rPr>
          <w:rFonts w:cstheme="minorHAnsi"/>
          <w:color w:val="231F20"/>
        </w:rPr>
        <w:lastRenderedPageBreak/>
        <w:t>in community psychology (Kloos et al., 2012) and 20 hr</w:t>
      </w:r>
      <w:r w:rsidR="00F838A7" w:rsidRPr="00492CCC">
        <w:rPr>
          <w:rFonts w:cstheme="minorHAnsi"/>
          <w:color w:val="231F20"/>
        </w:rPr>
        <w:t xml:space="preserve"> </w:t>
      </w:r>
      <w:r w:rsidRPr="00492CCC">
        <w:rPr>
          <w:rFonts w:cstheme="minorHAnsi"/>
          <w:color w:val="231F20"/>
        </w:rPr>
        <w:t>of service offered through a community engagement assignment. The faculty designed the community engagement assignment to expose students to research and some form of social advocacy in a community setting (Carmony et al., 2000). The structure of the course included consistent topics and assignments</w:t>
      </w:r>
      <w:r w:rsidR="00610107" w:rsidRPr="00492CCC">
        <w:rPr>
          <w:rFonts w:cstheme="minorHAnsi"/>
          <w:color w:val="231F20"/>
        </w:rPr>
        <w:t>,</w:t>
      </w:r>
      <w:r w:rsidRPr="00492CCC">
        <w:rPr>
          <w:rFonts w:cstheme="minorHAnsi"/>
          <w:color w:val="231F20"/>
        </w:rPr>
        <w:t xml:space="preserve"> such as preparing an advocacy report and an advocacy/informational video </w:t>
      </w:r>
      <w:r w:rsidR="00ED64FB" w:rsidRPr="00492CCC">
        <w:rPr>
          <w:rFonts w:cstheme="minorHAnsi"/>
          <w:color w:val="231F20"/>
        </w:rPr>
        <w:t>on</w:t>
      </w:r>
      <w:r w:rsidRPr="00492CCC">
        <w:rPr>
          <w:rFonts w:cstheme="minorHAnsi"/>
          <w:color w:val="231F20"/>
        </w:rPr>
        <w:t xml:space="preserve"> the community engagement experience (see </w:t>
      </w:r>
      <w:r w:rsidR="0052783B" w:rsidRPr="00492CCC">
        <w:rPr>
          <w:rFonts w:cstheme="minorHAnsi"/>
          <w:color w:val="231F20"/>
        </w:rPr>
        <w:t xml:space="preserve">Henderson, 2017; </w:t>
      </w:r>
      <w:r w:rsidRPr="00492CCC">
        <w:rPr>
          <w:rFonts w:cstheme="minorHAnsi"/>
          <w:color w:val="231F20"/>
        </w:rPr>
        <w:t xml:space="preserve">Henderson &amp; Wright, 2015). The advocacy report consisted of a statement of the issue or problem, research outlining the pros and cons of the advocacy statement, and a call to action. </w:t>
      </w:r>
      <w:proofErr w:type="gramStart"/>
      <w:r w:rsidRPr="00492CCC">
        <w:rPr>
          <w:rFonts w:cstheme="minorHAnsi"/>
          <w:color w:val="231F20"/>
        </w:rPr>
        <w:t>Similar to</w:t>
      </w:r>
      <w:proofErr w:type="gramEnd"/>
      <w:r w:rsidRPr="00492CCC">
        <w:rPr>
          <w:rFonts w:cstheme="minorHAnsi"/>
          <w:color w:val="231F20"/>
        </w:rPr>
        <w:t xml:space="preserve"> the report, the multimedia video included a call to action and aimed to improve student skills in using visual media, text, and music to convey a message.</w:t>
      </w:r>
    </w:p>
    <w:p w14:paraId="46EEBE69" w14:textId="0BF9598E" w:rsidR="00454249" w:rsidRPr="00492CCC" w:rsidRDefault="00454249" w:rsidP="00773B36">
      <w:pPr>
        <w:pStyle w:val="BodyText"/>
        <w:rPr>
          <w:rFonts w:cstheme="minorHAnsi"/>
        </w:rPr>
      </w:pPr>
      <w:r w:rsidRPr="00492CCC">
        <w:rPr>
          <w:rFonts w:cstheme="minorHAnsi"/>
          <w:color w:val="231F20"/>
        </w:rPr>
        <w:t>There were several moderations offered in</w:t>
      </w:r>
      <w:r w:rsidR="00593933" w:rsidRPr="00492CCC">
        <w:rPr>
          <w:rFonts w:cstheme="minorHAnsi"/>
          <w:color w:val="231F20"/>
        </w:rPr>
        <w:t xml:space="preserve"> </w:t>
      </w:r>
      <w:r w:rsidRPr="00492CCC">
        <w:rPr>
          <w:rFonts w:cstheme="minorHAnsi"/>
          <w:color w:val="231F20"/>
        </w:rPr>
        <w:t>the community engagement experience. The first</w:t>
      </w:r>
      <w:r w:rsidR="00F838A7" w:rsidRPr="00492CCC">
        <w:rPr>
          <w:rFonts w:cstheme="minorHAnsi"/>
          <w:color w:val="231F20"/>
        </w:rPr>
        <w:t xml:space="preserve"> </w:t>
      </w:r>
      <w:r w:rsidRPr="00492CCC">
        <w:rPr>
          <w:rFonts w:cstheme="minorHAnsi"/>
          <w:color w:val="231F20"/>
        </w:rPr>
        <w:t xml:space="preserve">course </w:t>
      </w:r>
      <w:proofErr w:type="gramStart"/>
      <w:r w:rsidRPr="00492CCC">
        <w:rPr>
          <w:rFonts w:cstheme="minorHAnsi"/>
          <w:color w:val="231F20"/>
        </w:rPr>
        <w:t>offering</w:t>
      </w:r>
      <w:proofErr w:type="gramEnd"/>
      <w:r w:rsidRPr="00492CCC">
        <w:rPr>
          <w:rFonts w:cstheme="minorHAnsi"/>
          <w:color w:val="231F20"/>
        </w:rPr>
        <w:t xml:space="preserve"> allowed students to choose a community site of their </w:t>
      </w:r>
      <w:r w:rsidR="0048686A" w:rsidRPr="00492CCC">
        <w:rPr>
          <w:rFonts w:cstheme="minorHAnsi"/>
          <w:color w:val="231F20"/>
        </w:rPr>
        <w:t>preference</w:t>
      </w:r>
      <w:r w:rsidRPr="00492CCC">
        <w:rPr>
          <w:rFonts w:cstheme="minorHAnsi"/>
          <w:color w:val="231F20"/>
        </w:rPr>
        <w:t xml:space="preserve"> and complete the report as an individual submission. Students had minimal opportunities to discuss or share assignments with peers in the course, and roughly 30% did not complete their service in the community surrounding the university and elected to complete it elsewhere. In the second course offering, the faculty member identified local agencies near the university and required students to complete the report and video as a group submission. The students had to choose an agency from the list and focus their topic on services offered. Some course time was devoted to students working in their groups and moving through activities related to their topic. In the last course offering, students worked as a class in conducting a needs assessment for a local neighborhood revitalization project. Course time was devoted to having class discussions on challenges arising in the local neighborhood and connecting group topics to revitalization efforts. Students were divided into small groups to work on individual sections of a final report and </w:t>
      </w:r>
      <w:r w:rsidR="0048686A" w:rsidRPr="00492CCC">
        <w:rPr>
          <w:rFonts w:cstheme="minorHAnsi"/>
          <w:color w:val="231F20"/>
        </w:rPr>
        <w:t xml:space="preserve">a </w:t>
      </w:r>
      <w:r w:rsidRPr="00492CCC">
        <w:rPr>
          <w:rFonts w:cstheme="minorHAnsi"/>
          <w:color w:val="231F20"/>
        </w:rPr>
        <w:t>class video submission (Henderson, 2017).</w:t>
      </w:r>
    </w:p>
    <w:p w14:paraId="500BAC9E" w14:textId="77777777" w:rsidR="00454249" w:rsidRPr="00492CCC" w:rsidRDefault="00454249" w:rsidP="00773B36">
      <w:pPr>
        <w:pStyle w:val="Heading2"/>
      </w:pPr>
      <w:r w:rsidRPr="00492CCC">
        <w:lastRenderedPageBreak/>
        <w:t>Measures</w:t>
      </w:r>
    </w:p>
    <w:p w14:paraId="3F8E3A20" w14:textId="30B526BD" w:rsidR="00F838A7" w:rsidRPr="00492CCC" w:rsidRDefault="00454249" w:rsidP="00773B36">
      <w:pPr>
        <w:pStyle w:val="BodyText"/>
        <w:rPr>
          <w:rFonts w:cstheme="minorHAnsi"/>
          <w:color w:val="231F20"/>
        </w:rPr>
      </w:pPr>
      <w:r w:rsidRPr="00492CCC">
        <w:rPr>
          <w:rFonts w:cstheme="minorHAnsi"/>
          <w:color w:val="231F20"/>
        </w:rPr>
        <w:t>The study included an online version of the Social Justice Scale (SJS; Torres-Harding et al., 2012) and an open-ended assessment designed by the faculty member. The SJS is a 24-item scale designed to assess social justice in four domains</w:t>
      </w:r>
      <w:r w:rsidR="00F838A7" w:rsidRPr="00492CCC">
        <w:rPr>
          <w:rFonts w:cstheme="minorHAnsi"/>
          <w:color w:val="231F20"/>
        </w:rPr>
        <w:t xml:space="preserve">: </w:t>
      </w:r>
      <w:r w:rsidRPr="00492CCC">
        <w:rPr>
          <w:rFonts w:cstheme="minorHAnsi"/>
          <w:color w:val="231F20"/>
        </w:rPr>
        <w:t xml:space="preserve">Attitudes Toward Social Justice, Perceived Behavioral Control, Subjective Norms, and Behavioral Intentions. The scale consists of a 7-point Likert rating ranging from 1 = </w:t>
      </w:r>
      <w:r w:rsidRPr="00492CCC">
        <w:rPr>
          <w:rFonts w:cstheme="minorHAnsi"/>
          <w:i/>
          <w:color w:val="231F20"/>
        </w:rPr>
        <w:t xml:space="preserve">strongly disagree </w:t>
      </w:r>
      <w:r w:rsidRPr="00492CCC">
        <w:rPr>
          <w:rFonts w:cstheme="minorHAnsi"/>
          <w:color w:val="231F20"/>
        </w:rPr>
        <w:t xml:space="preserve">to 7 = </w:t>
      </w:r>
      <w:r w:rsidRPr="00492CCC">
        <w:rPr>
          <w:rFonts w:cstheme="minorHAnsi"/>
          <w:i/>
          <w:color w:val="231F20"/>
        </w:rPr>
        <w:t>strongly agree</w:t>
      </w:r>
      <w:r w:rsidRPr="00492CCC">
        <w:rPr>
          <w:rFonts w:cstheme="minorHAnsi"/>
          <w:color w:val="231F20"/>
        </w:rPr>
        <w:t xml:space="preserve">. Cumulative scores range from 24 to 168; higher scores indicate a more favorable value orientation toward social justice. Students’ response in the courses aimed to confirm the reliability of the scale; Cronbach’s alpha on the subscales ranged from .82 to .95. </w:t>
      </w:r>
    </w:p>
    <w:p w14:paraId="6AEA0782" w14:textId="584EEC17" w:rsidR="00454249" w:rsidRPr="00492CCC" w:rsidRDefault="00454249" w:rsidP="00773B36">
      <w:pPr>
        <w:pStyle w:val="BodyText"/>
        <w:rPr>
          <w:rFonts w:cstheme="minorHAnsi"/>
        </w:rPr>
      </w:pPr>
      <w:r w:rsidRPr="00492CCC">
        <w:rPr>
          <w:rFonts w:cstheme="minorHAnsi"/>
          <w:color w:val="231F20"/>
        </w:rPr>
        <w:t xml:space="preserve">The open-ended assessment required students to review the definition of social justice outlined by Kloos </w:t>
      </w:r>
      <w:r w:rsidR="008328EE" w:rsidRPr="00492CCC">
        <w:rPr>
          <w:rFonts w:cstheme="minorHAnsi"/>
        </w:rPr>
        <w:t>et al.</w:t>
      </w:r>
      <w:r w:rsidRPr="00492CCC">
        <w:rPr>
          <w:rFonts w:cstheme="minorHAnsi"/>
          <w:color w:val="231F20"/>
        </w:rPr>
        <w:t xml:space="preserve"> (2012) </w:t>
      </w:r>
      <w:r w:rsidR="00F838A7" w:rsidRPr="00492CCC">
        <w:rPr>
          <w:rFonts w:cstheme="minorHAnsi"/>
          <w:color w:val="231F20"/>
        </w:rPr>
        <w:t xml:space="preserve">and </w:t>
      </w:r>
      <w:r w:rsidRPr="00492CCC">
        <w:rPr>
          <w:rFonts w:cstheme="minorHAnsi"/>
          <w:color w:val="231F20"/>
        </w:rPr>
        <w:t xml:space="preserve">then </w:t>
      </w:r>
      <w:r w:rsidR="00F838A7" w:rsidRPr="00492CCC">
        <w:rPr>
          <w:rFonts w:cstheme="minorHAnsi"/>
          <w:color w:val="231F20"/>
        </w:rPr>
        <w:t>describe</w:t>
      </w:r>
      <w:r w:rsidRPr="00492CCC">
        <w:rPr>
          <w:rFonts w:cstheme="minorHAnsi"/>
          <w:color w:val="231F20"/>
        </w:rPr>
        <w:t xml:space="preserve"> the degree to which the course increased their awareness and commitment</w:t>
      </w:r>
      <w:r w:rsidR="0048686A" w:rsidRPr="00492CCC">
        <w:rPr>
          <w:rFonts w:cstheme="minorHAnsi"/>
          <w:color w:val="231F20"/>
        </w:rPr>
        <w:t xml:space="preserve"> to social justice</w:t>
      </w:r>
      <w:r w:rsidRPr="00492CCC">
        <w:rPr>
          <w:rFonts w:cstheme="minorHAnsi"/>
          <w:color w:val="231F20"/>
        </w:rPr>
        <w:t>. Specifically, in one essay, students were required to describe how the course increased their awareness of social justice issues, followed by a second essay on how the course increased their commitment to social justice. The free</w:t>
      </w:r>
      <w:r w:rsidR="00F838A7" w:rsidRPr="00492CCC">
        <w:rPr>
          <w:rFonts w:cstheme="minorHAnsi"/>
          <w:color w:val="231F20"/>
        </w:rPr>
        <w:t>-</w:t>
      </w:r>
      <w:r w:rsidRPr="00492CCC">
        <w:rPr>
          <w:rFonts w:cstheme="minorHAnsi"/>
          <w:color w:val="231F20"/>
        </w:rPr>
        <w:t>writing process aimed to gain as much descriptive text as possible from students using a focused prompt.</w:t>
      </w:r>
    </w:p>
    <w:p w14:paraId="2F2EE576" w14:textId="77777777" w:rsidR="00454249" w:rsidRPr="00492CCC" w:rsidRDefault="00454249" w:rsidP="00773B36">
      <w:pPr>
        <w:pStyle w:val="Heading2"/>
      </w:pPr>
      <w:r w:rsidRPr="00492CCC">
        <w:t>Procedure and Analysis</w:t>
      </w:r>
    </w:p>
    <w:p w14:paraId="55BAE772" w14:textId="5D5C886D" w:rsidR="00454249" w:rsidRPr="00492CCC" w:rsidRDefault="00454249" w:rsidP="00773B36">
      <w:pPr>
        <w:pStyle w:val="BodyText"/>
        <w:rPr>
          <w:rFonts w:cstheme="minorHAnsi"/>
        </w:rPr>
      </w:pPr>
      <w:r w:rsidRPr="00492CCC">
        <w:rPr>
          <w:rFonts w:cstheme="minorHAnsi"/>
          <w:color w:val="231F20"/>
        </w:rPr>
        <w:t xml:space="preserve">At the beginning of the course, students were informed about the study and encouraged to complete the consent form and SJS online within the </w:t>
      </w:r>
      <w:r w:rsidR="00FC739A" w:rsidRPr="00492CCC">
        <w:rPr>
          <w:rFonts w:cstheme="minorHAnsi"/>
          <w:color w:val="231F20"/>
        </w:rPr>
        <w:t>1</w:t>
      </w:r>
      <w:r w:rsidRPr="00492CCC">
        <w:rPr>
          <w:rFonts w:cstheme="minorHAnsi"/>
          <w:color w:val="231F20"/>
        </w:rPr>
        <w:t xml:space="preserve">st week of class. In the last week of class, students received information about completing the SJS measure via email and </w:t>
      </w:r>
      <w:r w:rsidR="00F838A7" w:rsidRPr="00492CCC">
        <w:rPr>
          <w:rFonts w:cstheme="minorHAnsi"/>
          <w:color w:val="231F20"/>
        </w:rPr>
        <w:t xml:space="preserve">were </w:t>
      </w:r>
      <w:r w:rsidRPr="00492CCC">
        <w:rPr>
          <w:rFonts w:cstheme="minorHAnsi"/>
          <w:color w:val="231F20"/>
        </w:rPr>
        <w:t xml:space="preserve">provided with a deadline before the final exam. All students who completed the online measure at the beginning and end of the course received </w:t>
      </w:r>
      <w:r w:rsidR="009C2AD5" w:rsidRPr="00492CCC">
        <w:rPr>
          <w:rFonts w:cstheme="minorHAnsi"/>
          <w:color w:val="231F20"/>
        </w:rPr>
        <w:t>two</w:t>
      </w:r>
      <w:r w:rsidRPr="00492CCC">
        <w:rPr>
          <w:rFonts w:cstheme="minorHAnsi"/>
          <w:color w:val="231F20"/>
        </w:rPr>
        <w:t xml:space="preserve"> extra points toward their final grade (translat</w:t>
      </w:r>
      <w:r w:rsidR="00F838A7" w:rsidRPr="00492CCC">
        <w:rPr>
          <w:rFonts w:cstheme="minorHAnsi"/>
          <w:color w:val="231F20"/>
        </w:rPr>
        <w:t xml:space="preserve">ing </w:t>
      </w:r>
      <w:r w:rsidRPr="00492CCC">
        <w:rPr>
          <w:rFonts w:cstheme="minorHAnsi"/>
          <w:color w:val="231F20"/>
        </w:rPr>
        <w:t xml:space="preserve">to about 2% of their total course grade). At the end of the course, students received a prompt asking them to reflect on their experiences and </w:t>
      </w:r>
      <w:r w:rsidR="00F838A7" w:rsidRPr="00492CCC">
        <w:rPr>
          <w:rFonts w:cstheme="minorHAnsi"/>
          <w:color w:val="231F20"/>
        </w:rPr>
        <w:t xml:space="preserve">to </w:t>
      </w:r>
      <w:r w:rsidRPr="00492CCC">
        <w:rPr>
          <w:rFonts w:cstheme="minorHAnsi"/>
          <w:color w:val="231F20"/>
        </w:rPr>
        <w:t xml:space="preserve">indicate their level of agreement with items on the SJS. </w:t>
      </w:r>
      <w:r w:rsidRPr="00492CCC">
        <w:rPr>
          <w:rFonts w:cstheme="minorHAnsi"/>
          <w:color w:val="231F20"/>
        </w:rPr>
        <w:lastRenderedPageBreak/>
        <w:t xml:space="preserve">Responses from the </w:t>
      </w:r>
      <w:r w:rsidR="00D55A71" w:rsidRPr="00492CCC">
        <w:rPr>
          <w:rFonts w:cstheme="minorHAnsi"/>
          <w:color w:val="231F20"/>
        </w:rPr>
        <w:t xml:space="preserve">SJS at </w:t>
      </w:r>
      <w:r w:rsidRPr="00492CCC">
        <w:rPr>
          <w:rFonts w:cstheme="minorHAnsi"/>
          <w:color w:val="231F20"/>
        </w:rPr>
        <w:t>pre</w:t>
      </w:r>
      <w:r w:rsidR="00FC739A" w:rsidRPr="00492CCC">
        <w:rPr>
          <w:rFonts w:cstheme="minorHAnsi"/>
          <w:color w:val="231F20"/>
        </w:rPr>
        <w:t>test</w:t>
      </w:r>
      <w:r w:rsidRPr="00492CCC">
        <w:rPr>
          <w:rFonts w:cstheme="minorHAnsi"/>
          <w:color w:val="231F20"/>
        </w:rPr>
        <w:t xml:space="preserve"> and pos</w:t>
      </w:r>
      <w:r w:rsidR="00FC739A" w:rsidRPr="00492CCC">
        <w:rPr>
          <w:rFonts w:cstheme="minorHAnsi"/>
          <w:color w:val="231F20"/>
        </w:rPr>
        <w:t>ttest</w:t>
      </w:r>
      <w:r w:rsidRPr="00492CCC">
        <w:rPr>
          <w:rFonts w:cstheme="minorHAnsi"/>
          <w:color w:val="231F20"/>
        </w:rPr>
        <w:t xml:space="preserve"> were downloaded into a spreadsheet, coded, and </w:t>
      </w:r>
      <w:proofErr w:type="gramStart"/>
      <w:r w:rsidRPr="00492CCC">
        <w:rPr>
          <w:rFonts w:cstheme="minorHAnsi"/>
          <w:color w:val="231F20"/>
        </w:rPr>
        <w:t>entered into</w:t>
      </w:r>
      <w:proofErr w:type="gramEnd"/>
      <w:r w:rsidRPr="00492CCC">
        <w:rPr>
          <w:rFonts w:cstheme="minorHAnsi"/>
          <w:color w:val="231F20"/>
        </w:rPr>
        <w:t xml:space="preserve"> SPSS Version 25 for analysis.</w:t>
      </w:r>
    </w:p>
    <w:p w14:paraId="0FC5645C" w14:textId="12FBFEB6" w:rsidR="0048686A" w:rsidRPr="00492CCC" w:rsidRDefault="00454249" w:rsidP="00A86E93">
      <w:pPr>
        <w:pStyle w:val="BodyText"/>
        <w:rPr>
          <w:rFonts w:cstheme="minorHAnsi"/>
          <w:color w:val="231F20"/>
        </w:rPr>
      </w:pPr>
      <w:r w:rsidRPr="00492CCC">
        <w:rPr>
          <w:rFonts w:cstheme="minorHAnsi"/>
          <w:color w:val="231F20"/>
        </w:rPr>
        <w:t xml:space="preserve">The faculty </w:t>
      </w:r>
      <w:proofErr w:type="gramStart"/>
      <w:r w:rsidRPr="00492CCC">
        <w:rPr>
          <w:rFonts w:cstheme="minorHAnsi"/>
          <w:color w:val="231F20"/>
        </w:rPr>
        <w:t>member</w:t>
      </w:r>
      <w:proofErr w:type="gramEnd"/>
      <w:r w:rsidRPr="00492CCC">
        <w:rPr>
          <w:rFonts w:cstheme="minorHAnsi"/>
          <w:color w:val="231F20"/>
        </w:rPr>
        <w:t xml:space="preserve"> provided the option of completing the open-ended assessment on the last day of the course. Completing the assessment was voluntary; about 95% of students complete</w:t>
      </w:r>
      <w:r w:rsidR="00463D64" w:rsidRPr="00492CCC">
        <w:rPr>
          <w:rFonts w:cstheme="minorHAnsi"/>
          <w:color w:val="231F20"/>
        </w:rPr>
        <w:t>d</w:t>
      </w:r>
      <w:r w:rsidRPr="00492CCC">
        <w:rPr>
          <w:rFonts w:cstheme="minorHAnsi"/>
          <w:color w:val="231F20"/>
        </w:rPr>
        <w:t xml:space="preserve"> the assessment. Responses from the open-ended assessment were transcribed and coded by a research assistant. The research assistant was a former student</w:t>
      </w:r>
      <w:r w:rsidR="00463D64" w:rsidRPr="00492CCC">
        <w:rPr>
          <w:rFonts w:cstheme="minorHAnsi"/>
          <w:color w:val="231F20"/>
        </w:rPr>
        <w:t xml:space="preserve"> who received training in qualitative methods</w:t>
      </w:r>
      <w:r w:rsidRPr="00492CCC">
        <w:rPr>
          <w:rFonts w:cstheme="minorHAnsi"/>
          <w:color w:val="231F20"/>
        </w:rPr>
        <w:t xml:space="preserve"> and had the opportunity to review the syllabus and observe one of the courses before coding. Deductive coding included a review of individual responses across each course, the literature, and items on the SJS to generate unique codes </w:t>
      </w:r>
      <w:hyperlink w:anchor="_bookmark12" w:history="1">
        <w:r w:rsidRPr="00492CCC">
          <w:rPr>
            <w:rFonts w:cstheme="minorHAnsi"/>
            <w:color w:val="231F20"/>
          </w:rPr>
          <w:t>(Es</w:t>
        </w:r>
      </w:hyperlink>
      <w:r w:rsidRPr="00492CCC">
        <w:rPr>
          <w:rFonts w:cstheme="minorHAnsi"/>
          <w:color w:val="231F20"/>
        </w:rPr>
        <w:t xml:space="preserve">terberg, 2002). Following this step, the research assistant prepared an audit trail to review all responses and organize similar codes into categories related to social justice attitudes, beliefs, and behaviors. A total of 54 codes emerged at this stage of analysis. The lead author reviewed </w:t>
      </w:r>
      <w:r w:rsidR="0048686A" w:rsidRPr="00492CCC">
        <w:rPr>
          <w:rFonts w:cstheme="minorHAnsi"/>
          <w:color w:val="231F20"/>
        </w:rPr>
        <w:t xml:space="preserve">the </w:t>
      </w:r>
      <w:r w:rsidRPr="00492CCC">
        <w:rPr>
          <w:rFonts w:cstheme="minorHAnsi"/>
          <w:color w:val="231F20"/>
        </w:rPr>
        <w:t xml:space="preserve">final codes with the research assistant to establish a level of agreement (90%) and organized codes into a spreadsheet to establish intercoder reliability (Cohen’s </w:t>
      </w:r>
      <w:r w:rsidR="00383184" w:rsidRPr="00492CCC">
        <w:rPr>
          <w:rFonts w:cstheme="minorHAnsi"/>
          <w:color w:val="231F20"/>
        </w:rPr>
        <w:t xml:space="preserve">κ </w:t>
      </w:r>
      <w:r w:rsidRPr="00492CCC">
        <w:rPr>
          <w:rFonts w:cstheme="minorHAnsi"/>
          <w:color w:val="231F20"/>
        </w:rPr>
        <w:t>=</w:t>
      </w:r>
      <w:r w:rsidR="00593933" w:rsidRPr="00492CCC">
        <w:rPr>
          <w:rFonts w:cstheme="minorHAnsi"/>
          <w:color w:val="231F20"/>
        </w:rPr>
        <w:t xml:space="preserve"> </w:t>
      </w:r>
      <w:r w:rsidRPr="00492CCC">
        <w:rPr>
          <w:rFonts w:cstheme="minorHAnsi"/>
          <w:color w:val="231F20"/>
        </w:rPr>
        <w:t xml:space="preserve">.78). </w:t>
      </w:r>
    </w:p>
    <w:p w14:paraId="275ECE44" w14:textId="660A30D7" w:rsidR="00A86E93" w:rsidRPr="00492CCC" w:rsidRDefault="00454249" w:rsidP="00A86E93">
      <w:pPr>
        <w:pStyle w:val="BodyText"/>
        <w:rPr>
          <w:rFonts w:cstheme="minorHAnsi"/>
          <w:color w:val="231F20"/>
        </w:rPr>
      </w:pPr>
      <w:r w:rsidRPr="00492CCC">
        <w:rPr>
          <w:rFonts w:cstheme="minorHAnsi"/>
          <w:color w:val="231F20"/>
        </w:rPr>
        <w:t>Codes and transcripts were uploaded into NVivo Version 10 to perform text queries. Using codes such as “advocacy” and “change</w:t>
      </w:r>
      <w:r w:rsidR="00383184" w:rsidRPr="00492CCC">
        <w:rPr>
          <w:rFonts w:cstheme="minorHAnsi"/>
          <w:color w:val="231F20"/>
        </w:rPr>
        <w:t>,</w:t>
      </w:r>
      <w:r w:rsidRPr="00492CCC">
        <w:rPr>
          <w:rFonts w:cstheme="minorHAnsi"/>
          <w:color w:val="231F20"/>
        </w:rPr>
        <w:t>” text queries can assess the frequency of codes in the transcripts, similar words, and relationships (</w:t>
      </w:r>
      <w:proofErr w:type="spellStart"/>
      <w:r w:rsidRPr="00492CCC">
        <w:rPr>
          <w:rFonts w:cstheme="minorHAnsi"/>
          <w:color w:val="231F20"/>
        </w:rPr>
        <w:t>Bazeley</w:t>
      </w:r>
      <w:proofErr w:type="spellEnd"/>
      <w:r w:rsidRPr="00492CCC">
        <w:rPr>
          <w:rFonts w:cstheme="minorHAnsi"/>
          <w:color w:val="231F20"/>
        </w:rPr>
        <w:t xml:space="preserve"> &amp; Jackson, 2013). For example, codes such as “advocacy” and “change” were coded into a relationship node such as “behavior.” Queries led to finalizing 21 consistent codes, where 17 codes were consistent across all three courses (81%). </w:t>
      </w:r>
      <w:r w:rsidR="00FC739A" w:rsidRPr="00492CCC">
        <w:rPr>
          <w:rFonts w:cstheme="minorHAnsi"/>
          <w:color w:val="231F20"/>
        </w:rPr>
        <w:t xml:space="preserve">We used </w:t>
      </w:r>
      <w:r w:rsidRPr="00492CCC">
        <w:rPr>
          <w:rFonts w:cstheme="minorHAnsi"/>
          <w:color w:val="231F20"/>
        </w:rPr>
        <w:t xml:space="preserve">NVivo to visualize relationships in the data by clustering codes into similar groups, which guided </w:t>
      </w:r>
      <w:r w:rsidR="00383184" w:rsidRPr="00492CCC">
        <w:rPr>
          <w:rFonts w:cstheme="minorHAnsi"/>
          <w:color w:val="231F20"/>
        </w:rPr>
        <w:t xml:space="preserve">the </w:t>
      </w:r>
      <w:r w:rsidRPr="00492CCC">
        <w:rPr>
          <w:rFonts w:cstheme="minorHAnsi"/>
          <w:color w:val="231F20"/>
        </w:rPr>
        <w:t xml:space="preserve">thematic categories outlined in </w:t>
      </w:r>
      <w:hyperlink w:anchor="_bookmark1" w:history="1">
        <w:r w:rsidRPr="00492CCC">
          <w:rPr>
            <w:rFonts w:cstheme="minorHAnsi"/>
            <w:color w:val="231F20"/>
          </w:rPr>
          <w:t>Table 2.</w:t>
        </w:r>
      </w:hyperlink>
    </w:p>
    <w:p w14:paraId="24F3DBA7" w14:textId="77777777" w:rsidR="00463D64" w:rsidRPr="00492CCC" w:rsidRDefault="00463D64" w:rsidP="00A86E93">
      <w:pPr>
        <w:pStyle w:val="BodyText"/>
        <w:rPr>
          <w:rFonts w:cstheme="minorHAnsi"/>
          <w:color w:val="231F20"/>
        </w:rPr>
      </w:pPr>
    </w:p>
    <w:p w14:paraId="1BC504C6" w14:textId="77777777" w:rsidR="00492CCC" w:rsidRDefault="00492CCC" w:rsidP="00463D64">
      <w:pPr>
        <w:rPr>
          <w:rFonts w:cstheme="minorHAnsi"/>
          <w:b/>
          <w:bCs/>
          <w:color w:val="231F20"/>
        </w:rPr>
      </w:pPr>
    </w:p>
    <w:p w14:paraId="05442029" w14:textId="77777777" w:rsidR="00492CCC" w:rsidRDefault="00492CCC" w:rsidP="00463D64">
      <w:pPr>
        <w:rPr>
          <w:rFonts w:cstheme="minorHAnsi"/>
          <w:b/>
          <w:bCs/>
          <w:color w:val="231F20"/>
        </w:rPr>
      </w:pPr>
    </w:p>
    <w:p w14:paraId="3524B807" w14:textId="7054EE3A" w:rsidR="00463D64" w:rsidRPr="00492CCC" w:rsidRDefault="00463D64" w:rsidP="00463D64">
      <w:pPr>
        <w:rPr>
          <w:rFonts w:cstheme="minorHAnsi"/>
          <w:b/>
          <w:bCs/>
        </w:rPr>
      </w:pPr>
      <w:r w:rsidRPr="00492CCC">
        <w:rPr>
          <w:rFonts w:cstheme="minorHAnsi"/>
          <w:b/>
          <w:bCs/>
          <w:color w:val="231F20"/>
        </w:rPr>
        <w:lastRenderedPageBreak/>
        <w:t>Table 2</w:t>
      </w:r>
    </w:p>
    <w:p w14:paraId="5CB4B4B7" w14:textId="77777777" w:rsidR="00463D64" w:rsidRPr="00492CCC" w:rsidRDefault="00463D64" w:rsidP="00463D64">
      <w:pPr>
        <w:rPr>
          <w:rFonts w:cstheme="minorHAnsi"/>
          <w:i/>
          <w:color w:val="231F20"/>
        </w:rPr>
      </w:pPr>
      <w:r w:rsidRPr="00492CCC">
        <w:rPr>
          <w:rFonts w:cstheme="minorHAnsi"/>
          <w:i/>
          <w:color w:val="231F20"/>
        </w:rPr>
        <w:t>Thematic Categories With Codes Across Course Offerings</w:t>
      </w:r>
    </w:p>
    <w:tbl>
      <w:tblPr>
        <w:tblW w:w="4519" w:type="pct"/>
        <w:tblCellMar>
          <w:left w:w="0" w:type="dxa"/>
          <w:right w:w="0" w:type="dxa"/>
        </w:tblCellMar>
        <w:tblLook w:val="01E0" w:firstRow="1" w:lastRow="1" w:firstColumn="1" w:lastColumn="1" w:noHBand="0" w:noVBand="0"/>
      </w:tblPr>
      <w:tblGrid>
        <w:gridCol w:w="4233"/>
        <w:gridCol w:w="1409"/>
        <w:gridCol w:w="1409"/>
        <w:gridCol w:w="1409"/>
      </w:tblGrid>
      <w:tr w:rsidR="00463D64" w:rsidRPr="00492CCC" w14:paraId="33C3195C" w14:textId="77777777" w:rsidTr="00286AE0">
        <w:trPr>
          <w:trHeight w:val="290"/>
        </w:trPr>
        <w:tc>
          <w:tcPr>
            <w:tcW w:w="2501" w:type="pct"/>
            <w:vMerge w:val="restart"/>
            <w:tcBorders>
              <w:top w:val="single" w:sz="8" w:space="0" w:color="auto"/>
            </w:tcBorders>
          </w:tcPr>
          <w:p w14:paraId="1B85B7F6" w14:textId="77777777" w:rsidR="00463D64" w:rsidRPr="00492CCC" w:rsidRDefault="00463D64" w:rsidP="00463D64">
            <w:pPr>
              <w:pStyle w:val="TableParagraph"/>
              <w:spacing w:line="240" w:lineRule="auto"/>
              <w:contextualSpacing/>
              <w:jc w:val="left"/>
              <w:rPr>
                <w:rFonts w:ascii="Aptos" w:hAnsi="Aptos" w:cstheme="minorHAnsi"/>
                <w:color w:val="231F20"/>
              </w:rPr>
            </w:pPr>
            <w:r w:rsidRPr="00492CCC">
              <w:rPr>
                <w:rFonts w:ascii="Aptos" w:hAnsi="Aptos" w:cstheme="minorHAnsi"/>
                <w:color w:val="231F20"/>
              </w:rPr>
              <w:t>Theme and code cluster</w:t>
            </w:r>
          </w:p>
        </w:tc>
        <w:tc>
          <w:tcPr>
            <w:tcW w:w="2499" w:type="pct"/>
            <w:gridSpan w:val="3"/>
            <w:tcBorders>
              <w:top w:val="single" w:sz="8" w:space="0" w:color="auto"/>
              <w:bottom w:val="single" w:sz="4" w:space="0" w:color="000000"/>
            </w:tcBorders>
          </w:tcPr>
          <w:p w14:paraId="73EF05EC" w14:textId="77777777" w:rsidR="00463D64" w:rsidRPr="00492CCC" w:rsidRDefault="00463D64" w:rsidP="00463D64">
            <w:pPr>
              <w:pStyle w:val="TableParagraph"/>
              <w:spacing w:line="240" w:lineRule="auto"/>
              <w:contextualSpacing/>
              <w:rPr>
                <w:rFonts w:ascii="Aptos" w:hAnsi="Aptos" w:cstheme="minorHAnsi"/>
                <w:color w:val="231F20"/>
              </w:rPr>
            </w:pPr>
            <w:r w:rsidRPr="00492CCC">
              <w:rPr>
                <w:rFonts w:ascii="Aptos" w:hAnsi="Aptos" w:cstheme="minorHAnsi"/>
                <w:color w:val="231F20"/>
              </w:rPr>
              <w:t>Course offering (% coverage)</w:t>
            </w:r>
          </w:p>
        </w:tc>
      </w:tr>
      <w:tr w:rsidR="00463D64" w:rsidRPr="00492CCC" w14:paraId="0A3C3B83" w14:textId="77777777" w:rsidTr="00286AE0">
        <w:trPr>
          <w:trHeight w:val="290"/>
        </w:trPr>
        <w:tc>
          <w:tcPr>
            <w:tcW w:w="2501" w:type="pct"/>
            <w:vMerge/>
            <w:tcBorders>
              <w:bottom w:val="single" w:sz="8" w:space="0" w:color="auto"/>
            </w:tcBorders>
          </w:tcPr>
          <w:p w14:paraId="5EB0A42E" w14:textId="77777777" w:rsidR="00463D64" w:rsidRPr="00492CCC" w:rsidRDefault="00463D64" w:rsidP="00463D64">
            <w:pPr>
              <w:pStyle w:val="TableParagraph"/>
              <w:spacing w:line="240" w:lineRule="auto"/>
              <w:contextualSpacing/>
              <w:jc w:val="left"/>
              <w:rPr>
                <w:rFonts w:ascii="Aptos" w:hAnsi="Aptos" w:cstheme="minorHAnsi"/>
              </w:rPr>
            </w:pPr>
          </w:p>
        </w:tc>
        <w:tc>
          <w:tcPr>
            <w:tcW w:w="833" w:type="pct"/>
            <w:tcBorders>
              <w:top w:val="single" w:sz="4" w:space="0" w:color="000000"/>
              <w:bottom w:val="single" w:sz="8" w:space="0" w:color="auto"/>
            </w:tcBorders>
          </w:tcPr>
          <w:p w14:paraId="399756AC"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First</w:t>
            </w:r>
          </w:p>
        </w:tc>
        <w:tc>
          <w:tcPr>
            <w:tcW w:w="833" w:type="pct"/>
            <w:tcBorders>
              <w:top w:val="single" w:sz="4" w:space="0" w:color="000000"/>
              <w:bottom w:val="single" w:sz="8" w:space="0" w:color="auto"/>
            </w:tcBorders>
          </w:tcPr>
          <w:p w14:paraId="7DE4D5C7"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Second</w:t>
            </w:r>
          </w:p>
        </w:tc>
        <w:tc>
          <w:tcPr>
            <w:tcW w:w="834" w:type="pct"/>
            <w:tcBorders>
              <w:top w:val="single" w:sz="4" w:space="0" w:color="000000"/>
              <w:bottom w:val="single" w:sz="8" w:space="0" w:color="auto"/>
            </w:tcBorders>
          </w:tcPr>
          <w:p w14:paraId="4EEA3691"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Third</w:t>
            </w:r>
          </w:p>
        </w:tc>
      </w:tr>
      <w:tr w:rsidR="00463D64" w:rsidRPr="00492CCC" w14:paraId="55D7060E" w14:textId="77777777" w:rsidTr="00286AE0">
        <w:trPr>
          <w:trHeight w:val="225"/>
        </w:trPr>
        <w:tc>
          <w:tcPr>
            <w:tcW w:w="2501" w:type="pct"/>
            <w:tcBorders>
              <w:top w:val="single" w:sz="8" w:space="0" w:color="auto"/>
            </w:tcBorders>
          </w:tcPr>
          <w:p w14:paraId="43C3B41B" w14:textId="77777777" w:rsidR="00463D64" w:rsidRPr="00492CCC" w:rsidRDefault="00463D64" w:rsidP="00463D64">
            <w:pPr>
              <w:pStyle w:val="TableParagraph"/>
              <w:tabs>
                <w:tab w:val="left" w:pos="2063"/>
              </w:tabs>
              <w:spacing w:line="240" w:lineRule="auto"/>
              <w:contextualSpacing/>
              <w:jc w:val="left"/>
              <w:rPr>
                <w:rFonts w:ascii="Aptos" w:hAnsi="Aptos" w:cstheme="minorHAnsi"/>
                <w:color w:val="231F20"/>
              </w:rPr>
            </w:pPr>
            <w:r w:rsidRPr="00492CCC">
              <w:rPr>
                <w:rFonts w:ascii="Aptos" w:hAnsi="Aptos" w:cstheme="minorHAnsi"/>
                <w:color w:val="231F20"/>
              </w:rPr>
              <w:t>Awareness of social justice issues</w:t>
            </w:r>
          </w:p>
        </w:tc>
        <w:tc>
          <w:tcPr>
            <w:tcW w:w="833" w:type="pct"/>
            <w:tcBorders>
              <w:top w:val="single" w:sz="8" w:space="0" w:color="auto"/>
            </w:tcBorders>
          </w:tcPr>
          <w:p w14:paraId="45E14D65" w14:textId="77777777" w:rsidR="00463D64" w:rsidRPr="00492CCC" w:rsidRDefault="00463D64" w:rsidP="00463D64">
            <w:pPr>
              <w:pStyle w:val="TableParagraph"/>
              <w:spacing w:line="240" w:lineRule="auto"/>
              <w:contextualSpacing/>
              <w:rPr>
                <w:rFonts w:ascii="Aptos" w:hAnsi="Aptos" w:cstheme="minorHAnsi"/>
                <w:color w:val="231F20"/>
              </w:rPr>
            </w:pPr>
          </w:p>
        </w:tc>
        <w:tc>
          <w:tcPr>
            <w:tcW w:w="833" w:type="pct"/>
            <w:tcBorders>
              <w:top w:val="single" w:sz="8" w:space="0" w:color="auto"/>
            </w:tcBorders>
          </w:tcPr>
          <w:p w14:paraId="6F62F082" w14:textId="77777777" w:rsidR="00463D64" w:rsidRPr="00492CCC" w:rsidRDefault="00463D64" w:rsidP="00463D64">
            <w:pPr>
              <w:pStyle w:val="TableParagraph"/>
              <w:spacing w:line="240" w:lineRule="auto"/>
              <w:contextualSpacing/>
              <w:rPr>
                <w:rFonts w:ascii="Aptos" w:hAnsi="Aptos" w:cstheme="minorHAnsi"/>
                <w:color w:val="231F20"/>
              </w:rPr>
            </w:pPr>
          </w:p>
        </w:tc>
        <w:tc>
          <w:tcPr>
            <w:tcW w:w="834" w:type="pct"/>
            <w:tcBorders>
              <w:top w:val="single" w:sz="8" w:space="0" w:color="auto"/>
            </w:tcBorders>
          </w:tcPr>
          <w:p w14:paraId="41B19CBE" w14:textId="77777777" w:rsidR="00463D64" w:rsidRPr="00492CCC" w:rsidRDefault="00463D64" w:rsidP="00463D64">
            <w:pPr>
              <w:pStyle w:val="TableParagraph"/>
              <w:spacing w:line="240" w:lineRule="auto"/>
              <w:contextualSpacing/>
              <w:rPr>
                <w:rFonts w:ascii="Aptos" w:hAnsi="Aptos" w:cstheme="minorHAnsi"/>
                <w:color w:val="231F20"/>
              </w:rPr>
            </w:pPr>
          </w:p>
        </w:tc>
      </w:tr>
      <w:tr w:rsidR="00463D64" w:rsidRPr="00492CCC" w14:paraId="361F4A9F" w14:textId="77777777" w:rsidTr="00286AE0">
        <w:trPr>
          <w:trHeight w:val="225"/>
        </w:trPr>
        <w:tc>
          <w:tcPr>
            <w:tcW w:w="2501" w:type="pct"/>
          </w:tcPr>
          <w:p w14:paraId="3510298B" w14:textId="77777777" w:rsidR="00463D64" w:rsidRPr="00492CCC" w:rsidRDefault="00463D64" w:rsidP="00463D64">
            <w:pPr>
              <w:pStyle w:val="TableParagraph"/>
              <w:tabs>
                <w:tab w:val="left" w:pos="2063"/>
              </w:tabs>
              <w:spacing w:line="240" w:lineRule="auto"/>
              <w:ind w:left="270"/>
              <w:contextualSpacing/>
              <w:jc w:val="left"/>
              <w:rPr>
                <w:rFonts w:ascii="Aptos" w:hAnsi="Aptos" w:cstheme="minorHAnsi"/>
              </w:rPr>
            </w:pPr>
            <w:r w:rsidRPr="00492CCC">
              <w:rPr>
                <w:rFonts w:ascii="Aptos" w:hAnsi="Aptos" w:cstheme="minorHAnsi"/>
                <w:color w:val="231F20"/>
              </w:rPr>
              <w:t>Change thinking</w:t>
            </w:r>
          </w:p>
        </w:tc>
        <w:tc>
          <w:tcPr>
            <w:tcW w:w="833" w:type="pct"/>
          </w:tcPr>
          <w:p w14:paraId="481686E6"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20</w:t>
            </w:r>
          </w:p>
        </w:tc>
        <w:tc>
          <w:tcPr>
            <w:tcW w:w="833" w:type="pct"/>
          </w:tcPr>
          <w:p w14:paraId="2341F162"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30</w:t>
            </w:r>
          </w:p>
        </w:tc>
        <w:tc>
          <w:tcPr>
            <w:tcW w:w="834" w:type="pct"/>
          </w:tcPr>
          <w:p w14:paraId="33D60F8C"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36</w:t>
            </w:r>
          </w:p>
        </w:tc>
      </w:tr>
      <w:tr w:rsidR="00463D64" w:rsidRPr="00492CCC" w14:paraId="2736FB13" w14:textId="77777777" w:rsidTr="00286AE0">
        <w:trPr>
          <w:trHeight w:val="190"/>
        </w:trPr>
        <w:tc>
          <w:tcPr>
            <w:tcW w:w="2501" w:type="pct"/>
          </w:tcPr>
          <w:p w14:paraId="697E8AA7" w14:textId="77777777" w:rsidR="00463D64" w:rsidRPr="00492CCC" w:rsidRDefault="00463D64" w:rsidP="00463D64">
            <w:pPr>
              <w:pStyle w:val="TableParagraph"/>
              <w:tabs>
                <w:tab w:val="left" w:pos="2063"/>
              </w:tabs>
              <w:spacing w:line="240" w:lineRule="auto"/>
              <w:ind w:left="270"/>
              <w:contextualSpacing/>
              <w:jc w:val="left"/>
              <w:rPr>
                <w:rFonts w:ascii="Aptos" w:hAnsi="Aptos" w:cstheme="minorHAnsi"/>
              </w:rPr>
            </w:pPr>
            <w:r w:rsidRPr="00492CCC">
              <w:rPr>
                <w:rFonts w:ascii="Aptos" w:hAnsi="Aptos" w:cstheme="minorHAnsi"/>
                <w:color w:val="231F20"/>
              </w:rPr>
              <w:t>Diverse issues</w:t>
            </w:r>
          </w:p>
        </w:tc>
        <w:tc>
          <w:tcPr>
            <w:tcW w:w="833" w:type="pct"/>
          </w:tcPr>
          <w:p w14:paraId="369A2127"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1</w:t>
            </w:r>
          </w:p>
        </w:tc>
        <w:tc>
          <w:tcPr>
            <w:tcW w:w="833" w:type="pct"/>
          </w:tcPr>
          <w:p w14:paraId="51F6B201"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7</w:t>
            </w:r>
          </w:p>
        </w:tc>
        <w:tc>
          <w:tcPr>
            <w:tcW w:w="834" w:type="pct"/>
          </w:tcPr>
          <w:p w14:paraId="0017AC3B"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7</w:t>
            </w:r>
          </w:p>
        </w:tc>
      </w:tr>
      <w:tr w:rsidR="00463D64" w:rsidRPr="00492CCC" w14:paraId="1C54A8B2" w14:textId="77777777" w:rsidTr="00286AE0">
        <w:trPr>
          <w:trHeight w:val="190"/>
        </w:trPr>
        <w:tc>
          <w:tcPr>
            <w:tcW w:w="2501" w:type="pct"/>
          </w:tcPr>
          <w:p w14:paraId="034ABEC1" w14:textId="77777777" w:rsidR="00463D64" w:rsidRPr="00492CCC" w:rsidRDefault="00463D64" w:rsidP="00463D64">
            <w:pPr>
              <w:pStyle w:val="TableParagraph"/>
              <w:spacing w:line="240" w:lineRule="auto"/>
              <w:ind w:left="270"/>
              <w:contextualSpacing/>
              <w:jc w:val="left"/>
              <w:rPr>
                <w:rFonts w:ascii="Aptos" w:hAnsi="Aptos" w:cstheme="minorHAnsi"/>
              </w:rPr>
            </w:pPr>
            <w:r w:rsidRPr="00492CCC">
              <w:rPr>
                <w:rFonts w:ascii="Aptos" w:hAnsi="Aptos" w:cstheme="minorHAnsi"/>
                <w:color w:val="231F20"/>
              </w:rPr>
              <w:t>Diverse people</w:t>
            </w:r>
          </w:p>
        </w:tc>
        <w:tc>
          <w:tcPr>
            <w:tcW w:w="833" w:type="pct"/>
          </w:tcPr>
          <w:p w14:paraId="6584B1BA"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9</w:t>
            </w:r>
          </w:p>
        </w:tc>
        <w:tc>
          <w:tcPr>
            <w:tcW w:w="833" w:type="pct"/>
          </w:tcPr>
          <w:p w14:paraId="2EA30E95"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12</w:t>
            </w:r>
          </w:p>
        </w:tc>
        <w:tc>
          <w:tcPr>
            <w:tcW w:w="834" w:type="pct"/>
          </w:tcPr>
          <w:p w14:paraId="407324B9"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7</w:t>
            </w:r>
          </w:p>
        </w:tc>
      </w:tr>
      <w:tr w:rsidR="00463D64" w:rsidRPr="00492CCC" w14:paraId="7FA274D0" w14:textId="77777777" w:rsidTr="00286AE0">
        <w:trPr>
          <w:trHeight w:val="190"/>
        </w:trPr>
        <w:tc>
          <w:tcPr>
            <w:tcW w:w="2501" w:type="pct"/>
          </w:tcPr>
          <w:p w14:paraId="76D8862F" w14:textId="77777777" w:rsidR="00463D64" w:rsidRPr="00492CCC" w:rsidRDefault="00463D64" w:rsidP="00463D64">
            <w:pPr>
              <w:pStyle w:val="TableParagraph"/>
              <w:spacing w:line="240" w:lineRule="auto"/>
              <w:ind w:left="270"/>
              <w:contextualSpacing/>
              <w:jc w:val="left"/>
              <w:rPr>
                <w:rFonts w:ascii="Aptos" w:hAnsi="Aptos" w:cstheme="minorHAnsi"/>
              </w:rPr>
            </w:pPr>
            <w:r w:rsidRPr="00492CCC">
              <w:rPr>
                <w:rFonts w:ascii="Aptos" w:hAnsi="Aptos" w:cstheme="minorHAnsi"/>
                <w:color w:val="231F20"/>
              </w:rPr>
              <w:t>Domestic violence</w:t>
            </w:r>
          </w:p>
        </w:tc>
        <w:tc>
          <w:tcPr>
            <w:tcW w:w="833" w:type="pct"/>
          </w:tcPr>
          <w:p w14:paraId="6BA0AAE3"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1</w:t>
            </w:r>
          </w:p>
        </w:tc>
        <w:tc>
          <w:tcPr>
            <w:tcW w:w="833" w:type="pct"/>
          </w:tcPr>
          <w:p w14:paraId="0DC8C360"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36</w:t>
            </w:r>
          </w:p>
        </w:tc>
        <w:tc>
          <w:tcPr>
            <w:tcW w:w="834" w:type="pct"/>
          </w:tcPr>
          <w:p w14:paraId="69FBE58E"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1</w:t>
            </w:r>
          </w:p>
        </w:tc>
      </w:tr>
      <w:tr w:rsidR="00463D64" w:rsidRPr="00492CCC" w14:paraId="40E6962D" w14:textId="77777777" w:rsidTr="00286AE0">
        <w:trPr>
          <w:trHeight w:val="190"/>
        </w:trPr>
        <w:tc>
          <w:tcPr>
            <w:tcW w:w="2501" w:type="pct"/>
          </w:tcPr>
          <w:p w14:paraId="166855E9" w14:textId="77777777" w:rsidR="00463D64" w:rsidRPr="00492CCC" w:rsidRDefault="00463D64" w:rsidP="00463D64">
            <w:pPr>
              <w:pStyle w:val="TableParagraph"/>
              <w:spacing w:line="240" w:lineRule="auto"/>
              <w:ind w:left="270"/>
              <w:contextualSpacing/>
              <w:jc w:val="left"/>
              <w:rPr>
                <w:rFonts w:ascii="Aptos" w:hAnsi="Aptos" w:cstheme="minorHAnsi"/>
              </w:rPr>
            </w:pPr>
            <w:r w:rsidRPr="00492CCC">
              <w:rPr>
                <w:rFonts w:ascii="Aptos" w:hAnsi="Aptos" w:cstheme="minorHAnsi"/>
                <w:color w:val="231F20"/>
              </w:rPr>
              <w:t>Ecological systems</w:t>
            </w:r>
          </w:p>
        </w:tc>
        <w:tc>
          <w:tcPr>
            <w:tcW w:w="833" w:type="pct"/>
          </w:tcPr>
          <w:p w14:paraId="3BB49959"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36</w:t>
            </w:r>
          </w:p>
        </w:tc>
        <w:tc>
          <w:tcPr>
            <w:tcW w:w="833" w:type="pct"/>
          </w:tcPr>
          <w:p w14:paraId="1A6BACAC"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42</w:t>
            </w:r>
          </w:p>
        </w:tc>
        <w:tc>
          <w:tcPr>
            <w:tcW w:w="834" w:type="pct"/>
          </w:tcPr>
          <w:p w14:paraId="2FCC04F2"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48</w:t>
            </w:r>
          </w:p>
        </w:tc>
      </w:tr>
      <w:tr w:rsidR="00463D64" w:rsidRPr="00492CCC" w14:paraId="079CEC09" w14:textId="77777777" w:rsidTr="00286AE0">
        <w:trPr>
          <w:trHeight w:val="190"/>
        </w:trPr>
        <w:tc>
          <w:tcPr>
            <w:tcW w:w="2501" w:type="pct"/>
          </w:tcPr>
          <w:p w14:paraId="691C0327" w14:textId="77777777" w:rsidR="00463D64" w:rsidRPr="00492CCC" w:rsidRDefault="00463D64" w:rsidP="00463D64">
            <w:pPr>
              <w:pStyle w:val="TableParagraph"/>
              <w:spacing w:line="240" w:lineRule="auto"/>
              <w:ind w:left="270"/>
              <w:contextualSpacing/>
              <w:jc w:val="left"/>
              <w:rPr>
                <w:rFonts w:ascii="Aptos" w:hAnsi="Aptos" w:cstheme="minorHAnsi"/>
              </w:rPr>
            </w:pPr>
            <w:r w:rsidRPr="00492CCC">
              <w:rPr>
                <w:rFonts w:ascii="Aptos" w:hAnsi="Aptos" w:cstheme="minorHAnsi"/>
                <w:color w:val="231F20"/>
              </w:rPr>
              <w:t>Local community</w:t>
            </w:r>
          </w:p>
        </w:tc>
        <w:tc>
          <w:tcPr>
            <w:tcW w:w="833" w:type="pct"/>
          </w:tcPr>
          <w:p w14:paraId="72B1E1F5"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11</w:t>
            </w:r>
          </w:p>
        </w:tc>
        <w:tc>
          <w:tcPr>
            <w:tcW w:w="833" w:type="pct"/>
          </w:tcPr>
          <w:p w14:paraId="2D365856"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18</w:t>
            </w:r>
          </w:p>
        </w:tc>
        <w:tc>
          <w:tcPr>
            <w:tcW w:w="834" w:type="pct"/>
          </w:tcPr>
          <w:p w14:paraId="18E7971D"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29</w:t>
            </w:r>
          </w:p>
        </w:tc>
      </w:tr>
      <w:tr w:rsidR="00463D64" w:rsidRPr="00492CCC" w14:paraId="5D146975" w14:textId="77777777" w:rsidTr="00286AE0">
        <w:trPr>
          <w:trHeight w:val="190"/>
        </w:trPr>
        <w:tc>
          <w:tcPr>
            <w:tcW w:w="2501" w:type="pct"/>
          </w:tcPr>
          <w:p w14:paraId="2A17C719" w14:textId="77777777" w:rsidR="00463D64" w:rsidRPr="00492CCC" w:rsidRDefault="00463D64" w:rsidP="00463D64">
            <w:pPr>
              <w:pStyle w:val="TableParagraph"/>
              <w:spacing w:line="240" w:lineRule="auto"/>
              <w:ind w:left="270"/>
              <w:contextualSpacing/>
              <w:jc w:val="left"/>
              <w:rPr>
                <w:rFonts w:ascii="Aptos" w:hAnsi="Aptos" w:cstheme="minorHAnsi"/>
              </w:rPr>
            </w:pPr>
            <w:r w:rsidRPr="00492CCC">
              <w:rPr>
                <w:rFonts w:ascii="Aptos" w:hAnsi="Aptos" w:cstheme="minorHAnsi"/>
                <w:color w:val="231F20"/>
              </w:rPr>
              <w:t>Immigration</w:t>
            </w:r>
          </w:p>
        </w:tc>
        <w:tc>
          <w:tcPr>
            <w:tcW w:w="833" w:type="pct"/>
          </w:tcPr>
          <w:p w14:paraId="6D3DDBE7"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83</w:t>
            </w:r>
          </w:p>
        </w:tc>
        <w:tc>
          <w:tcPr>
            <w:tcW w:w="833" w:type="pct"/>
          </w:tcPr>
          <w:p w14:paraId="792A143E"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1</w:t>
            </w:r>
          </w:p>
        </w:tc>
        <w:tc>
          <w:tcPr>
            <w:tcW w:w="834" w:type="pct"/>
          </w:tcPr>
          <w:p w14:paraId="5E577AF1"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26</w:t>
            </w:r>
          </w:p>
        </w:tc>
      </w:tr>
      <w:tr w:rsidR="00463D64" w:rsidRPr="00492CCC" w14:paraId="2E427C4D" w14:textId="77777777" w:rsidTr="00286AE0">
        <w:trPr>
          <w:trHeight w:val="190"/>
        </w:trPr>
        <w:tc>
          <w:tcPr>
            <w:tcW w:w="2501" w:type="pct"/>
          </w:tcPr>
          <w:p w14:paraId="731E9BA5" w14:textId="77777777" w:rsidR="00463D64" w:rsidRPr="00492CCC" w:rsidRDefault="00463D64" w:rsidP="00463D64">
            <w:pPr>
              <w:pStyle w:val="TableParagraph"/>
              <w:spacing w:line="240" w:lineRule="auto"/>
              <w:ind w:left="270"/>
              <w:contextualSpacing/>
              <w:jc w:val="left"/>
              <w:rPr>
                <w:rFonts w:ascii="Aptos" w:hAnsi="Aptos" w:cstheme="minorHAnsi"/>
              </w:rPr>
            </w:pPr>
            <w:r w:rsidRPr="00492CCC">
              <w:rPr>
                <w:rFonts w:ascii="Aptos" w:hAnsi="Aptos" w:cstheme="minorHAnsi"/>
                <w:color w:val="231F20"/>
              </w:rPr>
              <w:t>Inequalities</w:t>
            </w:r>
          </w:p>
        </w:tc>
        <w:tc>
          <w:tcPr>
            <w:tcW w:w="833" w:type="pct"/>
          </w:tcPr>
          <w:p w14:paraId="78460997"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62</w:t>
            </w:r>
          </w:p>
        </w:tc>
        <w:tc>
          <w:tcPr>
            <w:tcW w:w="833" w:type="pct"/>
          </w:tcPr>
          <w:p w14:paraId="31EAE16A"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42</w:t>
            </w:r>
          </w:p>
        </w:tc>
        <w:tc>
          <w:tcPr>
            <w:tcW w:w="834" w:type="pct"/>
          </w:tcPr>
          <w:p w14:paraId="1AD66737"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52</w:t>
            </w:r>
          </w:p>
        </w:tc>
      </w:tr>
      <w:tr w:rsidR="00463D64" w:rsidRPr="00492CCC" w14:paraId="2AFF6C6E" w14:textId="77777777" w:rsidTr="00286AE0">
        <w:trPr>
          <w:trHeight w:val="190"/>
        </w:trPr>
        <w:tc>
          <w:tcPr>
            <w:tcW w:w="2501" w:type="pct"/>
          </w:tcPr>
          <w:p w14:paraId="47A76F36" w14:textId="77777777" w:rsidR="00463D64" w:rsidRPr="00492CCC" w:rsidRDefault="00463D64" w:rsidP="00463D64">
            <w:pPr>
              <w:pStyle w:val="TableParagraph"/>
              <w:spacing w:line="240" w:lineRule="auto"/>
              <w:ind w:left="270"/>
              <w:contextualSpacing/>
              <w:jc w:val="left"/>
              <w:rPr>
                <w:rFonts w:ascii="Aptos" w:hAnsi="Aptos" w:cstheme="minorHAnsi"/>
              </w:rPr>
            </w:pPr>
            <w:r w:rsidRPr="00492CCC">
              <w:rPr>
                <w:rFonts w:ascii="Aptos" w:hAnsi="Aptos" w:cstheme="minorHAnsi"/>
                <w:color w:val="231F20"/>
              </w:rPr>
              <w:t>Mental health</w:t>
            </w:r>
          </w:p>
        </w:tc>
        <w:tc>
          <w:tcPr>
            <w:tcW w:w="833" w:type="pct"/>
          </w:tcPr>
          <w:p w14:paraId="7D625144"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26</w:t>
            </w:r>
          </w:p>
        </w:tc>
        <w:tc>
          <w:tcPr>
            <w:tcW w:w="833" w:type="pct"/>
          </w:tcPr>
          <w:p w14:paraId="3FD49810"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4</w:t>
            </w:r>
          </w:p>
        </w:tc>
        <w:tc>
          <w:tcPr>
            <w:tcW w:w="834" w:type="pct"/>
          </w:tcPr>
          <w:p w14:paraId="59DA691D"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1</w:t>
            </w:r>
          </w:p>
        </w:tc>
      </w:tr>
      <w:tr w:rsidR="00463D64" w:rsidRPr="00492CCC" w14:paraId="6B69C996" w14:textId="77777777" w:rsidTr="00286AE0">
        <w:trPr>
          <w:trHeight w:val="190"/>
        </w:trPr>
        <w:tc>
          <w:tcPr>
            <w:tcW w:w="2501" w:type="pct"/>
          </w:tcPr>
          <w:p w14:paraId="23EF8B35" w14:textId="77777777" w:rsidR="00463D64" w:rsidRPr="00492CCC" w:rsidRDefault="00463D64" w:rsidP="00463D64">
            <w:pPr>
              <w:pStyle w:val="TableParagraph"/>
              <w:tabs>
                <w:tab w:val="left" w:pos="2063"/>
              </w:tabs>
              <w:spacing w:line="240" w:lineRule="auto"/>
              <w:contextualSpacing/>
              <w:jc w:val="left"/>
              <w:rPr>
                <w:rFonts w:ascii="Aptos" w:hAnsi="Aptos" w:cstheme="minorHAnsi"/>
                <w:color w:val="231F20"/>
              </w:rPr>
            </w:pPr>
            <w:r w:rsidRPr="00492CCC">
              <w:rPr>
                <w:rFonts w:ascii="Aptos" w:hAnsi="Aptos" w:cstheme="minorHAnsi"/>
                <w:color w:val="231F20"/>
              </w:rPr>
              <w:t>Behavioral control</w:t>
            </w:r>
          </w:p>
        </w:tc>
        <w:tc>
          <w:tcPr>
            <w:tcW w:w="833" w:type="pct"/>
          </w:tcPr>
          <w:p w14:paraId="37BC4287" w14:textId="77777777" w:rsidR="00463D64" w:rsidRPr="00492CCC" w:rsidRDefault="00463D64" w:rsidP="00463D64">
            <w:pPr>
              <w:pStyle w:val="TableParagraph"/>
              <w:spacing w:line="240" w:lineRule="auto"/>
              <w:contextualSpacing/>
              <w:rPr>
                <w:rFonts w:ascii="Aptos" w:hAnsi="Aptos" w:cstheme="minorHAnsi"/>
                <w:color w:val="231F20"/>
              </w:rPr>
            </w:pPr>
          </w:p>
        </w:tc>
        <w:tc>
          <w:tcPr>
            <w:tcW w:w="833" w:type="pct"/>
          </w:tcPr>
          <w:p w14:paraId="4C50F974" w14:textId="77777777" w:rsidR="00463D64" w:rsidRPr="00492CCC" w:rsidRDefault="00463D64" w:rsidP="00463D64">
            <w:pPr>
              <w:pStyle w:val="TableParagraph"/>
              <w:spacing w:line="240" w:lineRule="auto"/>
              <w:contextualSpacing/>
              <w:rPr>
                <w:rFonts w:ascii="Aptos" w:hAnsi="Aptos" w:cstheme="minorHAnsi"/>
                <w:color w:val="231F20"/>
              </w:rPr>
            </w:pPr>
          </w:p>
        </w:tc>
        <w:tc>
          <w:tcPr>
            <w:tcW w:w="834" w:type="pct"/>
          </w:tcPr>
          <w:p w14:paraId="597EAAC2" w14:textId="77777777" w:rsidR="00463D64" w:rsidRPr="00492CCC" w:rsidRDefault="00463D64" w:rsidP="00463D64">
            <w:pPr>
              <w:pStyle w:val="TableParagraph"/>
              <w:spacing w:line="240" w:lineRule="auto"/>
              <w:contextualSpacing/>
              <w:rPr>
                <w:rFonts w:ascii="Aptos" w:hAnsi="Aptos" w:cstheme="minorHAnsi"/>
                <w:color w:val="231F20"/>
              </w:rPr>
            </w:pPr>
          </w:p>
        </w:tc>
      </w:tr>
      <w:tr w:rsidR="00463D64" w:rsidRPr="00492CCC" w14:paraId="6E439457" w14:textId="77777777" w:rsidTr="00286AE0">
        <w:trPr>
          <w:trHeight w:val="190"/>
        </w:trPr>
        <w:tc>
          <w:tcPr>
            <w:tcW w:w="2501" w:type="pct"/>
          </w:tcPr>
          <w:p w14:paraId="54677C06" w14:textId="77777777" w:rsidR="00463D64" w:rsidRPr="00492CCC" w:rsidRDefault="00463D64" w:rsidP="00463D64">
            <w:pPr>
              <w:pStyle w:val="TableParagraph"/>
              <w:tabs>
                <w:tab w:val="left" w:pos="2063"/>
              </w:tabs>
              <w:spacing w:line="240" w:lineRule="auto"/>
              <w:ind w:left="270"/>
              <w:contextualSpacing/>
              <w:jc w:val="left"/>
              <w:rPr>
                <w:rFonts w:ascii="Aptos" w:hAnsi="Aptos" w:cstheme="minorHAnsi"/>
              </w:rPr>
            </w:pPr>
            <w:r w:rsidRPr="00492CCC">
              <w:rPr>
                <w:rFonts w:ascii="Aptos" w:hAnsi="Aptos" w:cstheme="minorHAnsi"/>
                <w:color w:val="231F20"/>
              </w:rPr>
              <w:t>Changing roles</w:t>
            </w:r>
          </w:p>
        </w:tc>
        <w:tc>
          <w:tcPr>
            <w:tcW w:w="833" w:type="pct"/>
          </w:tcPr>
          <w:p w14:paraId="210DC7D3"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3</w:t>
            </w:r>
          </w:p>
        </w:tc>
        <w:tc>
          <w:tcPr>
            <w:tcW w:w="833" w:type="pct"/>
          </w:tcPr>
          <w:p w14:paraId="28B7B4BB"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6</w:t>
            </w:r>
          </w:p>
        </w:tc>
        <w:tc>
          <w:tcPr>
            <w:tcW w:w="834" w:type="pct"/>
          </w:tcPr>
          <w:p w14:paraId="2A9D43ED"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7</w:t>
            </w:r>
          </w:p>
        </w:tc>
      </w:tr>
      <w:tr w:rsidR="00463D64" w:rsidRPr="00492CCC" w14:paraId="13935719" w14:textId="77777777" w:rsidTr="00286AE0">
        <w:trPr>
          <w:trHeight w:val="190"/>
        </w:trPr>
        <w:tc>
          <w:tcPr>
            <w:tcW w:w="2501" w:type="pct"/>
          </w:tcPr>
          <w:p w14:paraId="319EC51E" w14:textId="77777777" w:rsidR="00463D64" w:rsidRPr="00492CCC" w:rsidRDefault="00463D64" w:rsidP="00463D64">
            <w:pPr>
              <w:pStyle w:val="TableParagraph"/>
              <w:spacing w:line="240" w:lineRule="auto"/>
              <w:ind w:left="270"/>
              <w:contextualSpacing/>
              <w:jc w:val="left"/>
              <w:rPr>
                <w:rFonts w:ascii="Aptos" w:hAnsi="Aptos" w:cstheme="minorHAnsi"/>
              </w:rPr>
            </w:pPr>
            <w:r w:rsidRPr="00492CCC">
              <w:rPr>
                <w:rFonts w:ascii="Aptos" w:hAnsi="Aptos" w:cstheme="minorHAnsi"/>
                <w:color w:val="231F20"/>
              </w:rPr>
              <w:t>How to change</w:t>
            </w:r>
          </w:p>
        </w:tc>
        <w:tc>
          <w:tcPr>
            <w:tcW w:w="833" w:type="pct"/>
          </w:tcPr>
          <w:p w14:paraId="32FCDEF3"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22</w:t>
            </w:r>
          </w:p>
        </w:tc>
        <w:tc>
          <w:tcPr>
            <w:tcW w:w="833" w:type="pct"/>
          </w:tcPr>
          <w:p w14:paraId="2A01DBF5"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24</w:t>
            </w:r>
          </w:p>
        </w:tc>
        <w:tc>
          <w:tcPr>
            <w:tcW w:w="834" w:type="pct"/>
          </w:tcPr>
          <w:p w14:paraId="24600B04"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32</w:t>
            </w:r>
          </w:p>
        </w:tc>
      </w:tr>
      <w:tr w:rsidR="00463D64" w:rsidRPr="00492CCC" w14:paraId="55C7D958" w14:textId="77777777" w:rsidTr="00286AE0">
        <w:trPr>
          <w:trHeight w:val="190"/>
        </w:trPr>
        <w:tc>
          <w:tcPr>
            <w:tcW w:w="2501" w:type="pct"/>
          </w:tcPr>
          <w:p w14:paraId="168107DE" w14:textId="77777777" w:rsidR="00463D64" w:rsidRPr="00492CCC" w:rsidRDefault="00463D64" w:rsidP="00463D64">
            <w:pPr>
              <w:pStyle w:val="TableParagraph"/>
              <w:spacing w:line="240" w:lineRule="auto"/>
              <w:ind w:left="270"/>
              <w:contextualSpacing/>
              <w:jc w:val="left"/>
              <w:rPr>
                <w:rFonts w:ascii="Aptos" w:hAnsi="Aptos" w:cstheme="minorHAnsi"/>
              </w:rPr>
            </w:pPr>
            <w:r w:rsidRPr="00492CCC">
              <w:rPr>
                <w:rFonts w:ascii="Aptos" w:hAnsi="Aptos" w:cstheme="minorHAnsi"/>
                <w:color w:val="231F20"/>
              </w:rPr>
              <w:t>Make a difference</w:t>
            </w:r>
          </w:p>
        </w:tc>
        <w:tc>
          <w:tcPr>
            <w:tcW w:w="833" w:type="pct"/>
          </w:tcPr>
          <w:p w14:paraId="6F178273"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5</w:t>
            </w:r>
          </w:p>
        </w:tc>
        <w:tc>
          <w:tcPr>
            <w:tcW w:w="833" w:type="pct"/>
          </w:tcPr>
          <w:p w14:paraId="73F45575"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18</w:t>
            </w:r>
          </w:p>
        </w:tc>
        <w:tc>
          <w:tcPr>
            <w:tcW w:w="834" w:type="pct"/>
          </w:tcPr>
          <w:p w14:paraId="7F7F680E"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14</w:t>
            </w:r>
          </w:p>
        </w:tc>
      </w:tr>
      <w:tr w:rsidR="00463D64" w:rsidRPr="00492CCC" w14:paraId="076F01CD" w14:textId="77777777" w:rsidTr="00286AE0">
        <w:trPr>
          <w:trHeight w:val="190"/>
        </w:trPr>
        <w:tc>
          <w:tcPr>
            <w:tcW w:w="2501" w:type="pct"/>
          </w:tcPr>
          <w:p w14:paraId="6EE9F356" w14:textId="77777777" w:rsidR="00463D64" w:rsidRPr="00492CCC" w:rsidRDefault="00463D64" w:rsidP="00463D64">
            <w:pPr>
              <w:pStyle w:val="TableParagraph"/>
              <w:tabs>
                <w:tab w:val="left" w:pos="2063"/>
              </w:tabs>
              <w:spacing w:line="240" w:lineRule="auto"/>
              <w:contextualSpacing/>
              <w:jc w:val="left"/>
              <w:rPr>
                <w:rFonts w:ascii="Aptos" w:hAnsi="Aptos" w:cstheme="minorHAnsi"/>
                <w:color w:val="231F20"/>
              </w:rPr>
            </w:pPr>
            <w:r w:rsidRPr="00492CCC">
              <w:rPr>
                <w:rFonts w:ascii="Aptos" w:hAnsi="Aptos" w:cstheme="minorHAnsi"/>
                <w:color w:val="231F20"/>
              </w:rPr>
              <w:t>Social justice behaviors</w:t>
            </w:r>
          </w:p>
        </w:tc>
        <w:tc>
          <w:tcPr>
            <w:tcW w:w="833" w:type="pct"/>
          </w:tcPr>
          <w:p w14:paraId="20291970" w14:textId="77777777" w:rsidR="00463D64" w:rsidRPr="00492CCC" w:rsidRDefault="00463D64" w:rsidP="00463D64">
            <w:pPr>
              <w:pStyle w:val="TableParagraph"/>
              <w:spacing w:line="240" w:lineRule="auto"/>
              <w:contextualSpacing/>
              <w:rPr>
                <w:rFonts w:ascii="Aptos" w:hAnsi="Aptos" w:cstheme="minorHAnsi"/>
                <w:color w:val="231F20"/>
              </w:rPr>
            </w:pPr>
          </w:p>
        </w:tc>
        <w:tc>
          <w:tcPr>
            <w:tcW w:w="833" w:type="pct"/>
          </w:tcPr>
          <w:p w14:paraId="63C1A671" w14:textId="77777777" w:rsidR="00463D64" w:rsidRPr="00492CCC" w:rsidRDefault="00463D64" w:rsidP="00463D64">
            <w:pPr>
              <w:pStyle w:val="TableParagraph"/>
              <w:spacing w:line="240" w:lineRule="auto"/>
              <w:contextualSpacing/>
              <w:rPr>
                <w:rFonts w:ascii="Aptos" w:hAnsi="Aptos" w:cstheme="minorHAnsi"/>
                <w:color w:val="231F20"/>
              </w:rPr>
            </w:pPr>
          </w:p>
        </w:tc>
        <w:tc>
          <w:tcPr>
            <w:tcW w:w="834" w:type="pct"/>
          </w:tcPr>
          <w:p w14:paraId="171B2534" w14:textId="77777777" w:rsidR="00463D64" w:rsidRPr="00492CCC" w:rsidRDefault="00463D64" w:rsidP="00463D64">
            <w:pPr>
              <w:pStyle w:val="TableParagraph"/>
              <w:spacing w:line="240" w:lineRule="auto"/>
              <w:contextualSpacing/>
              <w:rPr>
                <w:rFonts w:ascii="Aptos" w:hAnsi="Aptos" w:cstheme="minorHAnsi"/>
                <w:color w:val="231F20"/>
              </w:rPr>
            </w:pPr>
          </w:p>
        </w:tc>
      </w:tr>
      <w:tr w:rsidR="00463D64" w:rsidRPr="00492CCC" w14:paraId="5906A1C1" w14:textId="77777777" w:rsidTr="00286AE0">
        <w:trPr>
          <w:trHeight w:val="190"/>
        </w:trPr>
        <w:tc>
          <w:tcPr>
            <w:tcW w:w="2501" w:type="pct"/>
          </w:tcPr>
          <w:p w14:paraId="48A4DB02" w14:textId="77777777" w:rsidR="00463D64" w:rsidRPr="00492CCC" w:rsidRDefault="00463D64" w:rsidP="00463D64">
            <w:pPr>
              <w:pStyle w:val="TableParagraph"/>
              <w:tabs>
                <w:tab w:val="left" w:pos="2063"/>
              </w:tabs>
              <w:spacing w:line="240" w:lineRule="auto"/>
              <w:ind w:left="270"/>
              <w:contextualSpacing/>
              <w:jc w:val="left"/>
              <w:rPr>
                <w:rFonts w:ascii="Aptos" w:hAnsi="Aptos" w:cstheme="minorHAnsi"/>
              </w:rPr>
            </w:pPr>
            <w:r w:rsidRPr="00492CCC">
              <w:rPr>
                <w:rFonts w:ascii="Aptos" w:hAnsi="Aptos" w:cstheme="minorHAnsi"/>
                <w:color w:val="231F20"/>
              </w:rPr>
              <w:t>Activist</w:t>
            </w:r>
          </w:p>
        </w:tc>
        <w:tc>
          <w:tcPr>
            <w:tcW w:w="833" w:type="pct"/>
          </w:tcPr>
          <w:p w14:paraId="7772A4C7"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4</w:t>
            </w:r>
          </w:p>
        </w:tc>
        <w:tc>
          <w:tcPr>
            <w:tcW w:w="833" w:type="pct"/>
          </w:tcPr>
          <w:p w14:paraId="04286A52"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14</w:t>
            </w:r>
          </w:p>
        </w:tc>
        <w:tc>
          <w:tcPr>
            <w:tcW w:w="834" w:type="pct"/>
          </w:tcPr>
          <w:p w14:paraId="1D83815D"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16</w:t>
            </w:r>
          </w:p>
        </w:tc>
      </w:tr>
      <w:tr w:rsidR="00463D64" w:rsidRPr="00492CCC" w14:paraId="29AABA36" w14:textId="77777777" w:rsidTr="00286AE0">
        <w:trPr>
          <w:trHeight w:val="190"/>
        </w:trPr>
        <w:tc>
          <w:tcPr>
            <w:tcW w:w="2501" w:type="pct"/>
          </w:tcPr>
          <w:p w14:paraId="6E784233" w14:textId="77777777" w:rsidR="00463D64" w:rsidRPr="00492CCC" w:rsidRDefault="00463D64" w:rsidP="00463D64">
            <w:pPr>
              <w:pStyle w:val="TableParagraph"/>
              <w:spacing w:line="240" w:lineRule="auto"/>
              <w:ind w:left="270"/>
              <w:contextualSpacing/>
              <w:jc w:val="left"/>
              <w:rPr>
                <w:rFonts w:ascii="Aptos" w:hAnsi="Aptos" w:cstheme="minorHAnsi"/>
              </w:rPr>
            </w:pPr>
            <w:r w:rsidRPr="00492CCC">
              <w:rPr>
                <w:rFonts w:ascii="Aptos" w:hAnsi="Aptos" w:cstheme="minorHAnsi"/>
                <w:color w:val="231F20"/>
              </w:rPr>
              <w:t>Advocate</w:t>
            </w:r>
          </w:p>
        </w:tc>
        <w:tc>
          <w:tcPr>
            <w:tcW w:w="833" w:type="pct"/>
          </w:tcPr>
          <w:p w14:paraId="16909D9C"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3</w:t>
            </w:r>
          </w:p>
        </w:tc>
        <w:tc>
          <w:tcPr>
            <w:tcW w:w="833" w:type="pct"/>
          </w:tcPr>
          <w:p w14:paraId="44FB1F8C"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12</w:t>
            </w:r>
          </w:p>
        </w:tc>
        <w:tc>
          <w:tcPr>
            <w:tcW w:w="834" w:type="pct"/>
          </w:tcPr>
          <w:p w14:paraId="70F60856"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22</w:t>
            </w:r>
          </w:p>
        </w:tc>
      </w:tr>
      <w:tr w:rsidR="00463D64" w:rsidRPr="00492CCC" w14:paraId="121EC06F" w14:textId="77777777" w:rsidTr="00286AE0">
        <w:trPr>
          <w:trHeight w:val="190"/>
        </w:trPr>
        <w:tc>
          <w:tcPr>
            <w:tcW w:w="2501" w:type="pct"/>
          </w:tcPr>
          <w:p w14:paraId="15B683E9" w14:textId="77777777" w:rsidR="00463D64" w:rsidRPr="00492CCC" w:rsidRDefault="00463D64" w:rsidP="00463D64">
            <w:pPr>
              <w:pStyle w:val="TableParagraph"/>
              <w:spacing w:line="240" w:lineRule="auto"/>
              <w:ind w:left="270"/>
              <w:contextualSpacing/>
              <w:jc w:val="left"/>
              <w:rPr>
                <w:rFonts w:ascii="Aptos" w:hAnsi="Aptos" w:cstheme="minorHAnsi"/>
              </w:rPr>
            </w:pPr>
            <w:r w:rsidRPr="00492CCC">
              <w:rPr>
                <w:rFonts w:ascii="Aptos" w:hAnsi="Aptos" w:cstheme="minorHAnsi"/>
                <w:color w:val="231F20"/>
              </w:rPr>
              <w:t>Build community</w:t>
            </w:r>
          </w:p>
        </w:tc>
        <w:tc>
          <w:tcPr>
            <w:tcW w:w="833" w:type="pct"/>
          </w:tcPr>
          <w:p w14:paraId="15EF3067"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1</w:t>
            </w:r>
          </w:p>
        </w:tc>
        <w:tc>
          <w:tcPr>
            <w:tcW w:w="833" w:type="pct"/>
          </w:tcPr>
          <w:p w14:paraId="1420A016"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1</w:t>
            </w:r>
          </w:p>
        </w:tc>
        <w:tc>
          <w:tcPr>
            <w:tcW w:w="834" w:type="pct"/>
          </w:tcPr>
          <w:p w14:paraId="42AA161A"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3</w:t>
            </w:r>
          </w:p>
        </w:tc>
      </w:tr>
      <w:tr w:rsidR="00463D64" w:rsidRPr="00492CCC" w14:paraId="483D8766" w14:textId="77777777" w:rsidTr="00286AE0">
        <w:trPr>
          <w:trHeight w:val="190"/>
        </w:trPr>
        <w:tc>
          <w:tcPr>
            <w:tcW w:w="2501" w:type="pct"/>
          </w:tcPr>
          <w:p w14:paraId="40C925C3" w14:textId="77777777" w:rsidR="00463D64" w:rsidRPr="00492CCC" w:rsidRDefault="00463D64" w:rsidP="00463D64">
            <w:pPr>
              <w:pStyle w:val="TableParagraph"/>
              <w:spacing w:line="240" w:lineRule="auto"/>
              <w:ind w:left="270"/>
              <w:contextualSpacing/>
              <w:jc w:val="left"/>
              <w:rPr>
                <w:rFonts w:ascii="Aptos" w:hAnsi="Aptos" w:cstheme="minorHAnsi"/>
              </w:rPr>
            </w:pPr>
            <w:r w:rsidRPr="00492CCC">
              <w:rPr>
                <w:rFonts w:ascii="Aptos" w:hAnsi="Aptos" w:cstheme="minorHAnsi"/>
                <w:color w:val="231F20"/>
              </w:rPr>
              <w:t>Committed</w:t>
            </w:r>
          </w:p>
        </w:tc>
        <w:tc>
          <w:tcPr>
            <w:tcW w:w="833" w:type="pct"/>
          </w:tcPr>
          <w:p w14:paraId="7FBA6F98"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1</w:t>
            </w:r>
          </w:p>
        </w:tc>
        <w:tc>
          <w:tcPr>
            <w:tcW w:w="833" w:type="pct"/>
          </w:tcPr>
          <w:p w14:paraId="2E581E8B"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4</w:t>
            </w:r>
          </w:p>
        </w:tc>
        <w:tc>
          <w:tcPr>
            <w:tcW w:w="834" w:type="pct"/>
          </w:tcPr>
          <w:p w14:paraId="05988BF2"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13</w:t>
            </w:r>
          </w:p>
        </w:tc>
      </w:tr>
      <w:tr w:rsidR="00463D64" w:rsidRPr="00492CCC" w14:paraId="6FDC334A" w14:textId="77777777" w:rsidTr="00286AE0">
        <w:trPr>
          <w:trHeight w:val="239"/>
        </w:trPr>
        <w:tc>
          <w:tcPr>
            <w:tcW w:w="2501" w:type="pct"/>
            <w:tcBorders>
              <w:bottom w:val="single" w:sz="8" w:space="0" w:color="auto"/>
            </w:tcBorders>
          </w:tcPr>
          <w:p w14:paraId="7B802EA4" w14:textId="77777777" w:rsidR="00463D64" w:rsidRPr="00492CCC" w:rsidRDefault="00463D64" w:rsidP="00463D64">
            <w:pPr>
              <w:pStyle w:val="TableParagraph"/>
              <w:spacing w:line="240" w:lineRule="auto"/>
              <w:ind w:left="270"/>
              <w:contextualSpacing/>
              <w:jc w:val="left"/>
              <w:rPr>
                <w:rFonts w:ascii="Aptos" w:hAnsi="Aptos" w:cstheme="minorHAnsi"/>
              </w:rPr>
            </w:pPr>
            <w:r w:rsidRPr="00492CCC">
              <w:rPr>
                <w:rFonts w:ascii="Aptos" w:hAnsi="Aptos" w:cstheme="minorHAnsi"/>
                <w:color w:val="231F20"/>
              </w:rPr>
              <w:t>Involvement</w:t>
            </w:r>
          </w:p>
        </w:tc>
        <w:tc>
          <w:tcPr>
            <w:tcW w:w="833" w:type="pct"/>
            <w:tcBorders>
              <w:bottom w:val="single" w:sz="8" w:space="0" w:color="auto"/>
            </w:tcBorders>
          </w:tcPr>
          <w:p w14:paraId="7F8A3A91"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1</w:t>
            </w:r>
          </w:p>
        </w:tc>
        <w:tc>
          <w:tcPr>
            <w:tcW w:w="833" w:type="pct"/>
            <w:tcBorders>
              <w:bottom w:val="single" w:sz="8" w:space="0" w:color="auto"/>
            </w:tcBorders>
          </w:tcPr>
          <w:p w14:paraId="74F5C994"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3</w:t>
            </w:r>
          </w:p>
        </w:tc>
        <w:tc>
          <w:tcPr>
            <w:tcW w:w="834" w:type="pct"/>
            <w:tcBorders>
              <w:bottom w:val="single" w:sz="8" w:space="0" w:color="auto"/>
            </w:tcBorders>
          </w:tcPr>
          <w:p w14:paraId="14432B2E" w14:textId="77777777" w:rsidR="00463D64" w:rsidRPr="00492CCC" w:rsidRDefault="00463D64" w:rsidP="00463D64">
            <w:pPr>
              <w:pStyle w:val="TableParagraph"/>
              <w:spacing w:line="240" w:lineRule="auto"/>
              <w:contextualSpacing/>
              <w:rPr>
                <w:rFonts w:ascii="Aptos" w:hAnsi="Aptos" w:cstheme="minorHAnsi"/>
              </w:rPr>
            </w:pPr>
            <w:r w:rsidRPr="00492CCC">
              <w:rPr>
                <w:rFonts w:ascii="Aptos" w:hAnsi="Aptos" w:cstheme="minorHAnsi"/>
                <w:color w:val="231F20"/>
              </w:rPr>
              <w:t>19</w:t>
            </w:r>
          </w:p>
        </w:tc>
      </w:tr>
    </w:tbl>
    <w:p w14:paraId="7ED59CCA" w14:textId="77777777" w:rsidR="00492CCC" w:rsidRDefault="00492CCC" w:rsidP="00492CCC"/>
    <w:p w14:paraId="34412646" w14:textId="1C90ECB5" w:rsidR="00D55A71" w:rsidRPr="00492CCC" w:rsidRDefault="00D55A71" w:rsidP="00492CCC">
      <w:pPr>
        <w:pStyle w:val="Heading1"/>
      </w:pPr>
      <w:r w:rsidRPr="00492CCC">
        <w:t>Results</w:t>
      </w:r>
    </w:p>
    <w:p w14:paraId="42660A38" w14:textId="77777777" w:rsidR="00D55A71" w:rsidRPr="00492CCC" w:rsidRDefault="00D55A71" w:rsidP="00D55A71">
      <w:pPr>
        <w:pStyle w:val="Heading2"/>
      </w:pPr>
      <w:r w:rsidRPr="00492CCC">
        <w:t>Quantitative Results</w:t>
      </w:r>
    </w:p>
    <w:p w14:paraId="13207C48" w14:textId="6211BA36" w:rsidR="00463D64" w:rsidRPr="00492CCC" w:rsidRDefault="00D55A71" w:rsidP="00434AB8">
      <w:pPr>
        <w:pStyle w:val="BodyText"/>
        <w:rPr>
          <w:rFonts w:cstheme="minorHAnsi"/>
          <w:color w:val="231F20"/>
        </w:rPr>
      </w:pPr>
      <w:r w:rsidRPr="00492CCC">
        <w:rPr>
          <w:rFonts w:cstheme="minorHAnsi"/>
          <w:color w:val="231F20"/>
        </w:rPr>
        <w:t>A review of the descriptive results suggested that cumulative student scores on the SJS were</w:t>
      </w:r>
      <w:r w:rsidR="00492CCC">
        <w:rPr>
          <w:rFonts w:cstheme="minorHAnsi"/>
          <w:color w:val="231F20"/>
        </w:rPr>
        <w:t xml:space="preserve"> </w:t>
      </w:r>
      <w:r w:rsidR="00454249" w:rsidRPr="00492CCC">
        <w:rPr>
          <w:rFonts w:cstheme="minorHAnsi"/>
          <w:color w:val="231F20"/>
        </w:rPr>
        <w:t xml:space="preserve">nonnormally distributed; skewness at the beginning of the courses ranged from </w:t>
      </w:r>
      <w:r w:rsidR="00326C8F" w:rsidRPr="00492CCC">
        <w:rPr>
          <w:rFonts w:cstheme="minorHAnsi"/>
          <w:color w:val="231F20"/>
        </w:rPr>
        <w:t>−1</w:t>
      </w:r>
      <w:r w:rsidR="00454249" w:rsidRPr="00492CCC">
        <w:rPr>
          <w:rFonts w:cstheme="minorHAnsi"/>
          <w:color w:val="231F20"/>
        </w:rPr>
        <w:t xml:space="preserve">.15 to </w:t>
      </w:r>
      <w:r w:rsidR="00326C8F" w:rsidRPr="00492CCC">
        <w:rPr>
          <w:rFonts w:cstheme="minorHAnsi"/>
          <w:color w:val="231F20"/>
        </w:rPr>
        <w:t>−0</w:t>
      </w:r>
      <w:r w:rsidR="00454249" w:rsidRPr="00492CCC">
        <w:rPr>
          <w:rFonts w:cstheme="minorHAnsi"/>
          <w:color w:val="231F20"/>
        </w:rPr>
        <w:t>.31 (</w:t>
      </w:r>
      <w:r w:rsidR="00454249" w:rsidRPr="00492CCC">
        <w:rPr>
          <w:rFonts w:cstheme="minorHAnsi"/>
          <w:i/>
          <w:color w:val="231F20"/>
        </w:rPr>
        <w:t xml:space="preserve">SE </w:t>
      </w:r>
      <w:r w:rsidR="00454249" w:rsidRPr="00492CCC">
        <w:rPr>
          <w:rFonts w:cstheme="minorHAnsi"/>
          <w:color w:val="231F20"/>
        </w:rPr>
        <w:t xml:space="preserve">= </w:t>
      </w:r>
      <w:r w:rsidR="00FC739A" w:rsidRPr="00492CCC">
        <w:rPr>
          <w:rFonts w:cstheme="minorHAnsi"/>
          <w:color w:val="231F20"/>
        </w:rPr>
        <w:t>0</w:t>
      </w:r>
      <w:r w:rsidR="00454249" w:rsidRPr="00492CCC">
        <w:rPr>
          <w:rFonts w:cstheme="minorHAnsi"/>
          <w:color w:val="231F20"/>
        </w:rPr>
        <w:t xml:space="preserve">.30) and kurtosis ranged from </w:t>
      </w:r>
      <w:r w:rsidR="00326C8F" w:rsidRPr="00492CCC">
        <w:rPr>
          <w:rFonts w:cstheme="minorHAnsi"/>
          <w:color w:val="231F20"/>
        </w:rPr>
        <w:t>−0</w:t>
      </w:r>
      <w:r w:rsidR="00454249" w:rsidRPr="00492CCC">
        <w:rPr>
          <w:rFonts w:cstheme="minorHAnsi"/>
          <w:color w:val="231F20"/>
        </w:rPr>
        <w:t>.60 to</w:t>
      </w:r>
      <w:r w:rsidR="00593933" w:rsidRPr="00492CCC">
        <w:rPr>
          <w:rFonts w:cstheme="minorHAnsi"/>
          <w:color w:val="231F20"/>
        </w:rPr>
        <w:t xml:space="preserve"> </w:t>
      </w:r>
      <w:r w:rsidR="00454249" w:rsidRPr="00492CCC">
        <w:rPr>
          <w:rFonts w:cstheme="minorHAnsi"/>
          <w:color w:val="231F20"/>
        </w:rPr>
        <w:t>1.04 (</w:t>
      </w:r>
      <w:r w:rsidR="00454249" w:rsidRPr="00492CCC">
        <w:rPr>
          <w:rFonts w:cstheme="minorHAnsi"/>
          <w:i/>
          <w:color w:val="231F20"/>
        </w:rPr>
        <w:t xml:space="preserve">SE </w:t>
      </w:r>
      <w:r w:rsidR="00454249" w:rsidRPr="00492CCC">
        <w:rPr>
          <w:rFonts w:cstheme="minorHAnsi"/>
          <w:color w:val="231F20"/>
        </w:rPr>
        <w:t xml:space="preserve">= </w:t>
      </w:r>
      <w:r w:rsidR="00FC739A" w:rsidRPr="00492CCC">
        <w:rPr>
          <w:rFonts w:cstheme="minorHAnsi"/>
          <w:color w:val="231F20"/>
        </w:rPr>
        <w:t>0</w:t>
      </w:r>
      <w:r w:rsidR="00454249" w:rsidRPr="00492CCC">
        <w:rPr>
          <w:rFonts w:cstheme="minorHAnsi"/>
          <w:color w:val="231F20"/>
        </w:rPr>
        <w:t xml:space="preserve">.60). Descriptive analysis of students’ scores on the SJS at the end of the course </w:t>
      </w:r>
      <w:r w:rsidR="00463D64" w:rsidRPr="00492CCC">
        <w:rPr>
          <w:rFonts w:cstheme="minorHAnsi"/>
          <w:color w:val="231F20"/>
        </w:rPr>
        <w:t>showed</w:t>
      </w:r>
      <w:r w:rsidR="00454249" w:rsidRPr="00492CCC">
        <w:rPr>
          <w:rFonts w:cstheme="minorHAnsi"/>
          <w:color w:val="231F20"/>
        </w:rPr>
        <w:t xml:space="preserve"> skewness </w:t>
      </w:r>
      <w:r w:rsidR="00463D64" w:rsidRPr="00492CCC">
        <w:rPr>
          <w:rFonts w:cstheme="minorHAnsi"/>
          <w:color w:val="231F20"/>
        </w:rPr>
        <w:t xml:space="preserve">that </w:t>
      </w:r>
      <w:r w:rsidR="00454249" w:rsidRPr="00492CCC">
        <w:rPr>
          <w:rFonts w:cstheme="minorHAnsi"/>
          <w:color w:val="231F20"/>
        </w:rPr>
        <w:t xml:space="preserve">ranged from </w:t>
      </w:r>
      <w:r w:rsidR="00326C8F" w:rsidRPr="00492CCC">
        <w:rPr>
          <w:rFonts w:cstheme="minorHAnsi"/>
          <w:color w:val="231F20"/>
        </w:rPr>
        <w:t>−1</w:t>
      </w:r>
      <w:r w:rsidR="00454249" w:rsidRPr="00492CCC">
        <w:rPr>
          <w:rFonts w:cstheme="minorHAnsi"/>
          <w:color w:val="231F20"/>
        </w:rPr>
        <w:t xml:space="preserve">.56 to </w:t>
      </w:r>
      <w:r w:rsidR="00326C8F" w:rsidRPr="00492CCC">
        <w:rPr>
          <w:rFonts w:cstheme="minorHAnsi"/>
          <w:color w:val="231F20"/>
        </w:rPr>
        <w:t>−0</w:t>
      </w:r>
      <w:r w:rsidR="00454249" w:rsidRPr="00492CCC">
        <w:rPr>
          <w:rFonts w:cstheme="minorHAnsi"/>
          <w:color w:val="231F20"/>
        </w:rPr>
        <w:t>.01 (</w:t>
      </w:r>
      <w:r w:rsidR="00454249" w:rsidRPr="00492CCC">
        <w:rPr>
          <w:rFonts w:cstheme="minorHAnsi"/>
          <w:i/>
          <w:color w:val="231F20"/>
        </w:rPr>
        <w:t xml:space="preserve">SE </w:t>
      </w:r>
      <w:r w:rsidR="00454249" w:rsidRPr="00492CCC">
        <w:rPr>
          <w:rFonts w:cstheme="minorHAnsi"/>
          <w:color w:val="231F20"/>
        </w:rPr>
        <w:t xml:space="preserve">= </w:t>
      </w:r>
      <w:r w:rsidR="00FC739A" w:rsidRPr="00492CCC">
        <w:rPr>
          <w:rFonts w:cstheme="minorHAnsi"/>
          <w:color w:val="231F20"/>
        </w:rPr>
        <w:t>0</w:t>
      </w:r>
      <w:r w:rsidR="00454249" w:rsidRPr="00492CCC">
        <w:rPr>
          <w:rFonts w:cstheme="minorHAnsi"/>
          <w:color w:val="231F20"/>
        </w:rPr>
        <w:t xml:space="preserve">.30) and kurtosis </w:t>
      </w:r>
      <w:r w:rsidR="00463D64" w:rsidRPr="00492CCC">
        <w:rPr>
          <w:rFonts w:cstheme="minorHAnsi"/>
          <w:color w:val="231F20"/>
        </w:rPr>
        <w:t xml:space="preserve">that </w:t>
      </w:r>
      <w:r w:rsidR="00454249" w:rsidRPr="00492CCC">
        <w:rPr>
          <w:rFonts w:cstheme="minorHAnsi"/>
          <w:color w:val="231F20"/>
        </w:rPr>
        <w:t xml:space="preserve">ranged from </w:t>
      </w:r>
      <w:r w:rsidR="006B26A1" w:rsidRPr="00492CCC">
        <w:rPr>
          <w:rFonts w:cstheme="minorHAnsi"/>
          <w:color w:val="231F20"/>
        </w:rPr>
        <w:t>0</w:t>
      </w:r>
      <w:r w:rsidR="00454249" w:rsidRPr="00492CCC">
        <w:rPr>
          <w:rFonts w:cstheme="minorHAnsi"/>
          <w:color w:val="231F20"/>
        </w:rPr>
        <w:t>.30 to 2.86 (</w:t>
      </w:r>
      <w:r w:rsidR="00454249" w:rsidRPr="00492CCC">
        <w:rPr>
          <w:rFonts w:cstheme="minorHAnsi"/>
          <w:i/>
          <w:color w:val="231F20"/>
        </w:rPr>
        <w:t xml:space="preserve">SE </w:t>
      </w:r>
      <w:r w:rsidR="00454249" w:rsidRPr="00492CCC">
        <w:rPr>
          <w:rFonts w:cstheme="minorHAnsi"/>
          <w:color w:val="231F20"/>
        </w:rPr>
        <w:t xml:space="preserve">= </w:t>
      </w:r>
      <w:r w:rsidR="00FC739A" w:rsidRPr="00492CCC">
        <w:rPr>
          <w:rFonts w:cstheme="minorHAnsi"/>
          <w:color w:val="231F20"/>
        </w:rPr>
        <w:t>0</w:t>
      </w:r>
      <w:r w:rsidR="00454249" w:rsidRPr="00492CCC">
        <w:rPr>
          <w:rFonts w:cstheme="minorHAnsi"/>
          <w:color w:val="231F20"/>
        </w:rPr>
        <w:t xml:space="preserve">.30). There was an outlier in the last course offering, a result of incomplete items. Removal of the score did not alter the skewness of the data. </w:t>
      </w:r>
    </w:p>
    <w:p w14:paraId="67CDDACE" w14:textId="1DC51C85" w:rsidR="00A86E93" w:rsidRPr="00492CCC" w:rsidRDefault="00454249" w:rsidP="00463D64">
      <w:pPr>
        <w:pStyle w:val="BodyText"/>
        <w:rPr>
          <w:rFonts w:cstheme="minorHAnsi"/>
          <w:color w:val="231F20"/>
        </w:rPr>
      </w:pPr>
      <w:r w:rsidRPr="00492CCC">
        <w:rPr>
          <w:rFonts w:cstheme="minorHAnsi"/>
          <w:color w:val="231F20"/>
        </w:rPr>
        <w:lastRenderedPageBreak/>
        <w:t>The lead author performed nonparametric tests to assess score changes in students’ responses (Grech &amp; Calleja, 2018). The lead author then subtracted the post</w:t>
      </w:r>
      <w:r w:rsidR="00FC739A" w:rsidRPr="00492CCC">
        <w:rPr>
          <w:rFonts w:cstheme="minorHAnsi"/>
          <w:color w:val="231F20"/>
        </w:rPr>
        <w:t xml:space="preserve">test </w:t>
      </w:r>
      <w:r w:rsidRPr="00492CCC">
        <w:rPr>
          <w:rFonts w:cstheme="minorHAnsi"/>
          <w:color w:val="231F20"/>
        </w:rPr>
        <w:t>scores from the pre</w:t>
      </w:r>
      <w:r w:rsidR="00FC739A" w:rsidRPr="00492CCC">
        <w:rPr>
          <w:rFonts w:cstheme="minorHAnsi"/>
          <w:color w:val="231F20"/>
        </w:rPr>
        <w:t xml:space="preserve">test </w:t>
      </w:r>
      <w:r w:rsidRPr="00492CCC">
        <w:rPr>
          <w:rFonts w:cstheme="minorHAnsi"/>
          <w:color w:val="231F20"/>
        </w:rPr>
        <w:t>scores to rank data from lowest to highest. A focus on the median assessed permutation in scores and differences across groups</w:t>
      </w:r>
      <w:r w:rsidR="00773B36" w:rsidRPr="00492CCC">
        <w:rPr>
          <w:rFonts w:cstheme="minorHAnsi"/>
          <w:color w:val="231F20"/>
        </w:rPr>
        <w:t xml:space="preserve"> and time </w:t>
      </w:r>
      <w:r w:rsidRPr="00492CCC">
        <w:rPr>
          <w:rFonts w:cstheme="minorHAnsi"/>
          <w:color w:val="231F20"/>
        </w:rPr>
        <w:t xml:space="preserve">(Hunter &amp; </w:t>
      </w:r>
      <w:proofErr w:type="gramStart"/>
      <w:r w:rsidRPr="00492CCC">
        <w:rPr>
          <w:rFonts w:cstheme="minorHAnsi"/>
          <w:color w:val="231F20"/>
        </w:rPr>
        <w:t>May,</w:t>
      </w:r>
      <w:proofErr w:type="gramEnd"/>
      <w:r w:rsidRPr="00492CCC">
        <w:rPr>
          <w:rFonts w:cstheme="minorHAnsi"/>
          <w:color w:val="231F20"/>
        </w:rPr>
        <w:t xml:space="preserve"> 1993; Leong &amp; Austin, 2006). A Wilcoxon signed-ranks test indicated </w:t>
      </w:r>
      <w:r w:rsidR="00383184" w:rsidRPr="00492CCC">
        <w:rPr>
          <w:rFonts w:cstheme="minorHAnsi"/>
          <w:color w:val="231F20"/>
        </w:rPr>
        <w:t xml:space="preserve">that </w:t>
      </w:r>
      <w:r w:rsidRPr="00492CCC">
        <w:rPr>
          <w:rFonts w:cstheme="minorHAnsi"/>
          <w:color w:val="231F20"/>
        </w:rPr>
        <w:t>students</w:t>
      </w:r>
      <w:r w:rsidR="00383184" w:rsidRPr="00492CCC">
        <w:rPr>
          <w:rFonts w:cstheme="minorHAnsi"/>
          <w:color w:val="231F20"/>
        </w:rPr>
        <w:t>’</w:t>
      </w:r>
      <w:r w:rsidRPr="00492CCC">
        <w:rPr>
          <w:rFonts w:cstheme="minorHAnsi"/>
          <w:color w:val="231F20"/>
        </w:rPr>
        <w:t xml:space="preserve"> cumulative scores on the SJS at the end of the course slightly increased (</w:t>
      </w:r>
      <w:proofErr w:type="spellStart"/>
      <w:r w:rsidRPr="00492CCC">
        <w:rPr>
          <w:rFonts w:cstheme="minorHAnsi"/>
          <w:i/>
          <w:color w:val="231F20"/>
        </w:rPr>
        <w:t>Mdn</w:t>
      </w:r>
      <w:proofErr w:type="spellEnd"/>
      <w:r w:rsidRPr="00492CCC">
        <w:rPr>
          <w:rFonts w:cstheme="minorHAnsi"/>
          <w:i/>
          <w:color w:val="231F20"/>
        </w:rPr>
        <w:t xml:space="preserve"> </w:t>
      </w:r>
      <w:r w:rsidRPr="00492CCC">
        <w:rPr>
          <w:rFonts w:cstheme="minorHAnsi"/>
          <w:color w:val="231F20"/>
        </w:rPr>
        <w:t xml:space="preserve">= 152.32) but were not significantly higher than </w:t>
      </w:r>
      <w:r w:rsidR="00463D64" w:rsidRPr="00492CCC">
        <w:rPr>
          <w:rFonts w:cstheme="minorHAnsi"/>
          <w:color w:val="231F20"/>
        </w:rPr>
        <w:t xml:space="preserve">their </w:t>
      </w:r>
      <w:r w:rsidRPr="00492CCC">
        <w:rPr>
          <w:rFonts w:cstheme="minorHAnsi"/>
          <w:color w:val="231F20"/>
        </w:rPr>
        <w:t>scores at the beginning of the course (</w:t>
      </w:r>
      <w:proofErr w:type="spellStart"/>
      <w:r w:rsidRPr="00492CCC">
        <w:rPr>
          <w:rFonts w:cstheme="minorHAnsi"/>
          <w:i/>
          <w:color w:val="231F20"/>
        </w:rPr>
        <w:t>Mdn</w:t>
      </w:r>
      <w:proofErr w:type="spellEnd"/>
      <w:r w:rsidRPr="00492CCC">
        <w:rPr>
          <w:rFonts w:cstheme="minorHAnsi"/>
          <w:i/>
          <w:color w:val="231F20"/>
        </w:rPr>
        <w:t xml:space="preserve"> </w:t>
      </w:r>
      <w:r w:rsidRPr="00492CCC">
        <w:rPr>
          <w:rFonts w:cstheme="minorHAnsi"/>
          <w:color w:val="231F20"/>
        </w:rPr>
        <w:t xml:space="preserve">= 150.00, </w:t>
      </w:r>
      <w:r w:rsidRPr="00492CCC">
        <w:rPr>
          <w:rFonts w:cstheme="minorHAnsi"/>
          <w:i/>
          <w:iCs/>
          <w:color w:val="231F20"/>
        </w:rPr>
        <w:t>Z</w:t>
      </w:r>
      <w:r w:rsidRPr="00492CCC">
        <w:rPr>
          <w:rFonts w:cstheme="minorHAnsi"/>
          <w:color w:val="231F20"/>
        </w:rPr>
        <w:t xml:space="preserve"> = </w:t>
      </w:r>
      <w:r w:rsidR="00326C8F" w:rsidRPr="00492CCC">
        <w:rPr>
          <w:rFonts w:cstheme="minorHAnsi"/>
          <w:color w:val="231F20"/>
        </w:rPr>
        <w:t>−1</w:t>
      </w:r>
      <w:r w:rsidRPr="00492CCC">
        <w:rPr>
          <w:rFonts w:cstheme="minorHAnsi"/>
          <w:color w:val="231F20"/>
        </w:rPr>
        <w:t xml:space="preserve">.73, </w:t>
      </w:r>
      <w:r w:rsidRPr="00492CCC">
        <w:rPr>
          <w:rFonts w:cstheme="minorHAnsi"/>
          <w:i/>
          <w:color w:val="231F20"/>
        </w:rPr>
        <w:t xml:space="preserve">p </w:t>
      </w:r>
      <w:r w:rsidRPr="00492CCC">
        <w:rPr>
          <w:rFonts w:cstheme="minorHAnsi"/>
          <w:color w:val="231F20"/>
        </w:rPr>
        <w:t xml:space="preserve">= .08, </w:t>
      </w:r>
      <w:r w:rsidRPr="00492CCC">
        <w:rPr>
          <w:rFonts w:cstheme="minorHAnsi"/>
          <w:i/>
          <w:color w:val="231F20"/>
        </w:rPr>
        <w:t xml:space="preserve">r </w:t>
      </w:r>
      <w:r w:rsidRPr="00492CCC">
        <w:rPr>
          <w:rFonts w:cstheme="minorHAnsi"/>
          <w:color w:val="231F20"/>
        </w:rPr>
        <w:t>=</w:t>
      </w:r>
      <w:r w:rsidR="00326C8F" w:rsidRPr="00492CCC">
        <w:rPr>
          <w:rFonts w:cstheme="minorHAnsi"/>
          <w:color w:val="231F20"/>
        </w:rPr>
        <w:t xml:space="preserve"> −.</w:t>
      </w:r>
      <w:r w:rsidRPr="00492CCC">
        <w:rPr>
          <w:rFonts w:cstheme="minorHAnsi"/>
          <w:color w:val="231F20"/>
        </w:rPr>
        <w:t>22</w:t>
      </w:r>
      <w:r w:rsidR="00FC739A" w:rsidRPr="00492CCC">
        <w:rPr>
          <w:rFonts w:cstheme="minorHAnsi"/>
          <w:color w:val="231F20"/>
        </w:rPr>
        <w:t>)</w:t>
      </w:r>
      <w:r w:rsidRPr="00492CCC">
        <w:rPr>
          <w:rFonts w:cstheme="minorHAnsi"/>
          <w:color w:val="231F20"/>
        </w:rPr>
        <w:t>. Analysis across the subscales suggest</w:t>
      </w:r>
      <w:r w:rsidR="00383184" w:rsidRPr="00492CCC">
        <w:rPr>
          <w:rFonts w:cstheme="minorHAnsi"/>
          <w:color w:val="231F20"/>
        </w:rPr>
        <w:t>ed</w:t>
      </w:r>
      <w:r w:rsidRPr="00492CCC">
        <w:rPr>
          <w:rFonts w:cstheme="minorHAnsi"/>
          <w:color w:val="231F20"/>
        </w:rPr>
        <w:t xml:space="preserve"> there was no significant difference in scores from the </w:t>
      </w:r>
      <w:r w:rsidR="00463D64" w:rsidRPr="00492CCC">
        <w:rPr>
          <w:rFonts w:cstheme="minorHAnsi"/>
          <w:color w:val="231F20"/>
        </w:rPr>
        <w:t>beginning to the end of the course across all subscales except subjective norms.</w:t>
      </w:r>
    </w:p>
    <w:p w14:paraId="4F396315" w14:textId="0EC5A3BC" w:rsidR="007A0D96" w:rsidRDefault="009C2AD5" w:rsidP="00A86E93">
      <w:pPr>
        <w:pStyle w:val="BodyText"/>
        <w:rPr>
          <w:rFonts w:cstheme="minorHAnsi"/>
          <w:color w:val="231F20"/>
        </w:rPr>
      </w:pPr>
      <w:r w:rsidRPr="00492CCC">
        <w:rPr>
          <w:rFonts w:cstheme="minorHAnsi"/>
          <w:color w:val="231F20"/>
        </w:rPr>
        <w:t>S</w:t>
      </w:r>
      <w:r w:rsidR="00454249" w:rsidRPr="00492CCC">
        <w:rPr>
          <w:rFonts w:cstheme="minorHAnsi"/>
          <w:color w:val="231F20"/>
        </w:rPr>
        <w:t>tudent scores on the Subjective Norms subscale revealed a slight but significant increase at the end of the course (</w:t>
      </w:r>
      <w:proofErr w:type="spellStart"/>
      <w:r w:rsidR="00454249" w:rsidRPr="00492CCC">
        <w:rPr>
          <w:rFonts w:cstheme="minorHAnsi"/>
          <w:i/>
          <w:color w:val="231F20"/>
        </w:rPr>
        <w:t>Mdn</w:t>
      </w:r>
      <w:proofErr w:type="spellEnd"/>
      <w:r w:rsidR="00454249" w:rsidRPr="00492CCC">
        <w:rPr>
          <w:rFonts w:cstheme="minorHAnsi"/>
          <w:i/>
          <w:color w:val="231F20"/>
        </w:rPr>
        <w:t xml:space="preserve"> </w:t>
      </w:r>
      <w:r w:rsidR="00454249" w:rsidRPr="00492CCC">
        <w:rPr>
          <w:rFonts w:cstheme="minorHAnsi"/>
          <w:color w:val="231F20"/>
        </w:rPr>
        <w:t>= 20.87) compared to scores at the beginning of the course (</w:t>
      </w:r>
      <w:proofErr w:type="spellStart"/>
      <w:r w:rsidR="00454249" w:rsidRPr="00492CCC">
        <w:rPr>
          <w:rFonts w:cstheme="minorHAnsi"/>
          <w:i/>
          <w:color w:val="231F20"/>
        </w:rPr>
        <w:t>Mdn</w:t>
      </w:r>
      <w:proofErr w:type="spellEnd"/>
      <w:r w:rsidR="00454249" w:rsidRPr="00492CCC">
        <w:rPr>
          <w:rFonts w:cstheme="minorHAnsi"/>
          <w:i/>
          <w:color w:val="231F20"/>
        </w:rPr>
        <w:t xml:space="preserve"> </w:t>
      </w:r>
      <w:r w:rsidR="00454249" w:rsidRPr="00492CCC">
        <w:rPr>
          <w:rFonts w:cstheme="minorHAnsi"/>
          <w:color w:val="231F20"/>
        </w:rPr>
        <w:t xml:space="preserve">= 19.00, </w:t>
      </w:r>
      <w:r w:rsidR="00454249" w:rsidRPr="00492CCC">
        <w:rPr>
          <w:rFonts w:cstheme="minorHAnsi"/>
          <w:i/>
          <w:color w:val="231F20"/>
        </w:rPr>
        <w:t xml:space="preserve">Z </w:t>
      </w:r>
      <w:r w:rsidR="00454249" w:rsidRPr="00492CCC">
        <w:rPr>
          <w:rFonts w:cstheme="minorHAnsi"/>
          <w:color w:val="231F20"/>
        </w:rPr>
        <w:t xml:space="preserve">= </w:t>
      </w:r>
      <w:r w:rsidR="00326C8F" w:rsidRPr="00492CCC">
        <w:rPr>
          <w:rFonts w:cstheme="minorHAnsi"/>
          <w:color w:val="231F20"/>
        </w:rPr>
        <w:t>−2</w:t>
      </w:r>
      <w:r w:rsidR="00454249" w:rsidRPr="00492CCC">
        <w:rPr>
          <w:rFonts w:cstheme="minorHAnsi"/>
          <w:color w:val="231F20"/>
        </w:rPr>
        <w:t xml:space="preserve">.32, </w:t>
      </w:r>
      <w:r w:rsidR="00454249" w:rsidRPr="00492CCC">
        <w:rPr>
          <w:rFonts w:cstheme="minorHAnsi"/>
          <w:i/>
          <w:color w:val="231F20"/>
        </w:rPr>
        <w:t xml:space="preserve">p </w:t>
      </w:r>
      <w:r w:rsidR="00454249" w:rsidRPr="00492CCC">
        <w:rPr>
          <w:rFonts w:cstheme="minorHAnsi"/>
          <w:color w:val="231F20"/>
        </w:rPr>
        <w:t xml:space="preserve">&lt; .05, </w:t>
      </w:r>
      <w:r w:rsidR="00454249" w:rsidRPr="00492CCC">
        <w:rPr>
          <w:rFonts w:cstheme="minorHAnsi"/>
          <w:i/>
          <w:color w:val="231F20"/>
        </w:rPr>
        <w:t xml:space="preserve">r </w:t>
      </w:r>
      <w:r w:rsidR="00454249" w:rsidRPr="00492CCC">
        <w:rPr>
          <w:rFonts w:cstheme="minorHAnsi"/>
          <w:color w:val="231F20"/>
        </w:rPr>
        <w:t>=</w:t>
      </w:r>
      <w:r w:rsidR="00326C8F" w:rsidRPr="00492CCC">
        <w:rPr>
          <w:rFonts w:cstheme="minorHAnsi"/>
          <w:color w:val="231F20"/>
        </w:rPr>
        <w:t xml:space="preserve"> −.</w:t>
      </w:r>
      <w:r w:rsidR="00454249" w:rsidRPr="00492CCC">
        <w:rPr>
          <w:rFonts w:cstheme="minorHAnsi"/>
          <w:color w:val="231F20"/>
        </w:rPr>
        <w:t>29</w:t>
      </w:r>
      <w:r w:rsidR="00FC739A" w:rsidRPr="00492CCC">
        <w:rPr>
          <w:rFonts w:cstheme="minorHAnsi"/>
          <w:color w:val="231F20"/>
        </w:rPr>
        <w:t>)</w:t>
      </w:r>
      <w:r w:rsidR="00454249" w:rsidRPr="00492CCC">
        <w:rPr>
          <w:rFonts w:cstheme="minorHAnsi"/>
          <w:color w:val="231F20"/>
        </w:rPr>
        <w:t xml:space="preserve">. </w:t>
      </w:r>
      <w:hyperlink w:anchor="_bookmark2" w:history="1">
        <w:r w:rsidR="00454249" w:rsidRPr="00492CCC">
          <w:rPr>
            <w:rFonts w:cstheme="minorHAnsi"/>
            <w:color w:val="231F20"/>
          </w:rPr>
          <w:t>Table 3</w:t>
        </w:r>
      </w:hyperlink>
      <w:r w:rsidR="00454249" w:rsidRPr="00492CCC">
        <w:rPr>
          <w:rFonts w:cstheme="minorHAnsi"/>
          <w:color w:val="231F20"/>
        </w:rPr>
        <w:t xml:space="preserve"> </w:t>
      </w:r>
      <w:r w:rsidR="00383184" w:rsidRPr="00492CCC">
        <w:rPr>
          <w:rFonts w:cstheme="minorHAnsi"/>
          <w:color w:val="231F20"/>
        </w:rPr>
        <w:t>presents</w:t>
      </w:r>
      <w:r w:rsidR="00454249" w:rsidRPr="00492CCC">
        <w:rPr>
          <w:rFonts w:cstheme="minorHAnsi"/>
          <w:color w:val="231F20"/>
        </w:rPr>
        <w:t xml:space="preserve"> the results in detail.</w:t>
      </w:r>
    </w:p>
    <w:p w14:paraId="0016169F" w14:textId="77777777" w:rsidR="00492CCC" w:rsidRDefault="00492CCC" w:rsidP="00A86E93">
      <w:pPr>
        <w:pStyle w:val="BodyText"/>
        <w:rPr>
          <w:rFonts w:cstheme="minorHAnsi"/>
          <w:color w:val="231F20"/>
        </w:rPr>
      </w:pPr>
    </w:p>
    <w:p w14:paraId="3A088890" w14:textId="77777777" w:rsidR="00492CCC" w:rsidRPr="00492CCC" w:rsidRDefault="00492CCC" w:rsidP="00492CCC">
      <w:pPr>
        <w:rPr>
          <w:rFonts w:cstheme="minorHAnsi"/>
        </w:rPr>
      </w:pPr>
      <w:r w:rsidRPr="00492CCC">
        <w:rPr>
          <w:rFonts w:cstheme="minorHAnsi"/>
          <w:b/>
          <w:bCs/>
          <w:color w:val="231F20"/>
        </w:rPr>
        <w:t>Table</w:t>
      </w:r>
      <w:r w:rsidRPr="00492CCC">
        <w:rPr>
          <w:rFonts w:cstheme="minorHAnsi"/>
          <w:color w:val="231F20"/>
        </w:rPr>
        <w:t xml:space="preserve"> </w:t>
      </w:r>
      <w:r w:rsidRPr="00492CCC">
        <w:rPr>
          <w:rFonts w:cstheme="minorHAnsi"/>
          <w:b/>
          <w:bCs/>
          <w:color w:val="231F20"/>
        </w:rPr>
        <w:t>3</w:t>
      </w:r>
    </w:p>
    <w:p w14:paraId="746BBE8C" w14:textId="77777777" w:rsidR="00492CCC" w:rsidRPr="00492CCC" w:rsidRDefault="00492CCC" w:rsidP="00492CCC">
      <w:pPr>
        <w:rPr>
          <w:rFonts w:cstheme="minorHAnsi"/>
          <w:i/>
          <w:color w:val="231F20"/>
        </w:rPr>
      </w:pPr>
      <w:r w:rsidRPr="00492CCC">
        <w:rPr>
          <w:rFonts w:cstheme="minorHAnsi"/>
          <w:i/>
          <w:color w:val="231F20"/>
        </w:rPr>
        <w:t>Median Scores Across the Course Offerings From Beginning to End of the Course</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877"/>
        <w:gridCol w:w="878"/>
        <w:gridCol w:w="945"/>
        <w:gridCol w:w="810"/>
        <w:gridCol w:w="877"/>
        <w:gridCol w:w="923"/>
        <w:gridCol w:w="832"/>
        <w:gridCol w:w="878"/>
      </w:tblGrid>
      <w:tr w:rsidR="00492CCC" w:rsidRPr="00492CCC" w14:paraId="396FD7C9" w14:textId="77777777" w:rsidTr="00492CCC">
        <w:tc>
          <w:tcPr>
            <w:tcW w:w="2520" w:type="dxa"/>
            <w:vMerge w:val="restart"/>
            <w:tcBorders>
              <w:top w:val="single" w:sz="8" w:space="0" w:color="auto"/>
            </w:tcBorders>
          </w:tcPr>
          <w:p w14:paraId="6479F093" w14:textId="77777777" w:rsidR="00492CCC" w:rsidRPr="00492CCC" w:rsidRDefault="00492CCC" w:rsidP="00492CCC">
            <w:pPr>
              <w:spacing w:line="240" w:lineRule="auto"/>
              <w:jc w:val="center"/>
            </w:pPr>
            <w:r w:rsidRPr="00492CCC">
              <w:t>Measure</w:t>
            </w:r>
          </w:p>
        </w:tc>
        <w:tc>
          <w:tcPr>
            <w:tcW w:w="2700" w:type="dxa"/>
            <w:gridSpan w:val="3"/>
            <w:tcBorders>
              <w:top w:val="single" w:sz="8" w:space="0" w:color="auto"/>
              <w:bottom w:val="single" w:sz="8" w:space="0" w:color="auto"/>
            </w:tcBorders>
          </w:tcPr>
          <w:p w14:paraId="350F3103" w14:textId="77777777" w:rsidR="00492CCC" w:rsidRPr="00492CCC" w:rsidRDefault="00492CCC" w:rsidP="00492CCC">
            <w:pPr>
              <w:spacing w:line="240" w:lineRule="auto"/>
              <w:jc w:val="center"/>
              <w:rPr>
                <w:rFonts w:cstheme="minorHAnsi"/>
              </w:rPr>
            </w:pPr>
            <w:r w:rsidRPr="00492CCC">
              <w:rPr>
                <w:rFonts w:cstheme="minorHAnsi"/>
              </w:rPr>
              <w:t>Beginning of course</w:t>
            </w:r>
          </w:p>
        </w:tc>
        <w:tc>
          <w:tcPr>
            <w:tcW w:w="2610" w:type="dxa"/>
            <w:gridSpan w:val="3"/>
            <w:tcBorders>
              <w:top w:val="single" w:sz="8" w:space="0" w:color="auto"/>
              <w:bottom w:val="single" w:sz="8" w:space="0" w:color="auto"/>
            </w:tcBorders>
          </w:tcPr>
          <w:p w14:paraId="22D8125D" w14:textId="77777777" w:rsidR="00492CCC" w:rsidRPr="00492CCC" w:rsidRDefault="00492CCC" w:rsidP="00492CCC">
            <w:pPr>
              <w:spacing w:line="240" w:lineRule="auto"/>
              <w:jc w:val="center"/>
              <w:rPr>
                <w:rFonts w:cstheme="minorHAnsi"/>
              </w:rPr>
            </w:pPr>
            <w:r w:rsidRPr="00492CCC">
              <w:rPr>
                <w:rFonts w:cstheme="minorHAnsi"/>
              </w:rPr>
              <w:t>End of course</w:t>
            </w:r>
          </w:p>
        </w:tc>
        <w:tc>
          <w:tcPr>
            <w:tcW w:w="1710" w:type="dxa"/>
            <w:gridSpan w:val="2"/>
            <w:tcBorders>
              <w:top w:val="single" w:sz="8" w:space="0" w:color="auto"/>
              <w:bottom w:val="single" w:sz="8" w:space="0" w:color="auto"/>
            </w:tcBorders>
          </w:tcPr>
          <w:p w14:paraId="56453E32" w14:textId="77777777" w:rsidR="00492CCC" w:rsidRPr="00492CCC" w:rsidRDefault="00492CCC" w:rsidP="00492CCC">
            <w:pPr>
              <w:spacing w:line="240" w:lineRule="auto"/>
              <w:jc w:val="center"/>
              <w:rPr>
                <w:rFonts w:cstheme="minorHAnsi"/>
              </w:rPr>
            </w:pPr>
            <w:r w:rsidRPr="00492CCC">
              <w:rPr>
                <w:rFonts w:cstheme="minorHAnsi"/>
              </w:rPr>
              <w:t>Difference</w:t>
            </w:r>
          </w:p>
        </w:tc>
      </w:tr>
      <w:tr w:rsidR="00492CCC" w:rsidRPr="00492CCC" w14:paraId="684A10C3" w14:textId="77777777" w:rsidTr="00492CCC">
        <w:tc>
          <w:tcPr>
            <w:tcW w:w="2520" w:type="dxa"/>
            <w:vMerge/>
            <w:tcBorders>
              <w:bottom w:val="single" w:sz="8" w:space="0" w:color="auto"/>
            </w:tcBorders>
          </w:tcPr>
          <w:p w14:paraId="12B608C6" w14:textId="77777777" w:rsidR="00492CCC" w:rsidRPr="00492CCC" w:rsidRDefault="00492CCC" w:rsidP="00492CCC">
            <w:pPr>
              <w:spacing w:line="240" w:lineRule="auto"/>
            </w:pPr>
          </w:p>
        </w:tc>
        <w:tc>
          <w:tcPr>
            <w:tcW w:w="877" w:type="dxa"/>
            <w:tcBorders>
              <w:top w:val="single" w:sz="8" w:space="0" w:color="auto"/>
              <w:bottom w:val="single" w:sz="8" w:space="0" w:color="auto"/>
            </w:tcBorders>
          </w:tcPr>
          <w:p w14:paraId="6C7B43BB" w14:textId="77777777" w:rsidR="00492CCC" w:rsidRPr="00492CCC" w:rsidRDefault="00492CCC" w:rsidP="00492CCC">
            <w:pPr>
              <w:spacing w:line="240" w:lineRule="auto"/>
              <w:jc w:val="center"/>
              <w:rPr>
                <w:rFonts w:cstheme="minorHAnsi"/>
                <w:i/>
                <w:iCs/>
              </w:rPr>
            </w:pPr>
            <w:proofErr w:type="spellStart"/>
            <w:r w:rsidRPr="00492CCC">
              <w:rPr>
                <w:rFonts w:cstheme="minorHAnsi"/>
                <w:i/>
                <w:iCs/>
              </w:rPr>
              <w:t>Mdn</w:t>
            </w:r>
            <w:proofErr w:type="spellEnd"/>
          </w:p>
        </w:tc>
        <w:tc>
          <w:tcPr>
            <w:tcW w:w="878" w:type="dxa"/>
            <w:tcBorders>
              <w:top w:val="single" w:sz="8" w:space="0" w:color="auto"/>
              <w:bottom w:val="single" w:sz="8" w:space="0" w:color="auto"/>
            </w:tcBorders>
          </w:tcPr>
          <w:p w14:paraId="4FE258CA" w14:textId="77777777" w:rsidR="00492CCC" w:rsidRPr="00492CCC" w:rsidRDefault="00492CCC" w:rsidP="00492CCC">
            <w:pPr>
              <w:spacing w:line="240" w:lineRule="auto"/>
              <w:jc w:val="center"/>
              <w:rPr>
                <w:rFonts w:cstheme="minorHAnsi"/>
              </w:rPr>
            </w:pPr>
            <w:r w:rsidRPr="00492CCC">
              <w:rPr>
                <w:rFonts w:cstheme="minorHAnsi"/>
              </w:rPr>
              <w:t>Min.</w:t>
            </w:r>
          </w:p>
        </w:tc>
        <w:tc>
          <w:tcPr>
            <w:tcW w:w="945" w:type="dxa"/>
            <w:tcBorders>
              <w:top w:val="single" w:sz="8" w:space="0" w:color="auto"/>
              <w:bottom w:val="single" w:sz="8" w:space="0" w:color="auto"/>
            </w:tcBorders>
          </w:tcPr>
          <w:p w14:paraId="397520F7" w14:textId="77777777" w:rsidR="00492CCC" w:rsidRPr="00492CCC" w:rsidRDefault="00492CCC" w:rsidP="00492CCC">
            <w:pPr>
              <w:spacing w:line="240" w:lineRule="auto"/>
              <w:jc w:val="center"/>
              <w:rPr>
                <w:rFonts w:cstheme="minorHAnsi"/>
              </w:rPr>
            </w:pPr>
            <w:r w:rsidRPr="00492CCC">
              <w:rPr>
                <w:rFonts w:cstheme="minorHAnsi"/>
              </w:rPr>
              <w:t>Max.</w:t>
            </w:r>
          </w:p>
        </w:tc>
        <w:tc>
          <w:tcPr>
            <w:tcW w:w="810" w:type="dxa"/>
            <w:tcBorders>
              <w:top w:val="single" w:sz="8" w:space="0" w:color="auto"/>
              <w:bottom w:val="single" w:sz="8" w:space="0" w:color="auto"/>
            </w:tcBorders>
          </w:tcPr>
          <w:p w14:paraId="5D7E6691" w14:textId="77777777" w:rsidR="00492CCC" w:rsidRPr="00492CCC" w:rsidRDefault="00492CCC" w:rsidP="00492CCC">
            <w:pPr>
              <w:spacing w:line="240" w:lineRule="auto"/>
              <w:jc w:val="center"/>
              <w:rPr>
                <w:rFonts w:cstheme="minorHAnsi"/>
              </w:rPr>
            </w:pPr>
            <w:proofErr w:type="spellStart"/>
            <w:r w:rsidRPr="00492CCC">
              <w:rPr>
                <w:rFonts w:cstheme="minorHAnsi"/>
                <w:i/>
                <w:iCs/>
              </w:rPr>
              <w:t>Mdn</w:t>
            </w:r>
            <w:proofErr w:type="spellEnd"/>
          </w:p>
        </w:tc>
        <w:tc>
          <w:tcPr>
            <w:tcW w:w="877" w:type="dxa"/>
            <w:tcBorders>
              <w:top w:val="single" w:sz="8" w:space="0" w:color="auto"/>
              <w:bottom w:val="single" w:sz="8" w:space="0" w:color="auto"/>
            </w:tcBorders>
          </w:tcPr>
          <w:p w14:paraId="5531A36A" w14:textId="77777777" w:rsidR="00492CCC" w:rsidRPr="00492CCC" w:rsidRDefault="00492CCC" w:rsidP="00492CCC">
            <w:pPr>
              <w:spacing w:line="240" w:lineRule="auto"/>
              <w:jc w:val="center"/>
              <w:rPr>
                <w:rFonts w:cstheme="minorHAnsi"/>
              </w:rPr>
            </w:pPr>
            <w:r w:rsidRPr="00492CCC">
              <w:rPr>
                <w:rFonts w:cstheme="minorHAnsi"/>
              </w:rPr>
              <w:t>Min.</w:t>
            </w:r>
          </w:p>
        </w:tc>
        <w:tc>
          <w:tcPr>
            <w:tcW w:w="923" w:type="dxa"/>
            <w:tcBorders>
              <w:top w:val="single" w:sz="8" w:space="0" w:color="auto"/>
              <w:bottom w:val="single" w:sz="8" w:space="0" w:color="auto"/>
            </w:tcBorders>
          </w:tcPr>
          <w:p w14:paraId="6C56F212" w14:textId="77777777" w:rsidR="00492CCC" w:rsidRPr="00492CCC" w:rsidRDefault="00492CCC" w:rsidP="00492CCC">
            <w:pPr>
              <w:spacing w:line="240" w:lineRule="auto"/>
              <w:jc w:val="center"/>
              <w:rPr>
                <w:rFonts w:cstheme="minorHAnsi"/>
              </w:rPr>
            </w:pPr>
            <w:r w:rsidRPr="00492CCC">
              <w:rPr>
                <w:rFonts w:cstheme="minorHAnsi"/>
              </w:rPr>
              <w:t>Max.</w:t>
            </w:r>
          </w:p>
        </w:tc>
        <w:tc>
          <w:tcPr>
            <w:tcW w:w="832" w:type="dxa"/>
            <w:tcBorders>
              <w:top w:val="single" w:sz="8" w:space="0" w:color="auto"/>
              <w:bottom w:val="single" w:sz="8" w:space="0" w:color="auto"/>
            </w:tcBorders>
          </w:tcPr>
          <w:p w14:paraId="5E919133" w14:textId="77777777" w:rsidR="00492CCC" w:rsidRPr="00492CCC" w:rsidRDefault="00492CCC" w:rsidP="00492CCC">
            <w:pPr>
              <w:spacing w:line="240" w:lineRule="auto"/>
              <w:jc w:val="center"/>
              <w:rPr>
                <w:rFonts w:cstheme="minorHAnsi"/>
                <w:i/>
                <w:iCs/>
              </w:rPr>
            </w:pPr>
            <w:proofErr w:type="spellStart"/>
            <w:r w:rsidRPr="00492CCC">
              <w:rPr>
                <w:rFonts w:cstheme="minorHAnsi"/>
                <w:i/>
                <w:iCs/>
              </w:rPr>
              <w:t>Mdn</w:t>
            </w:r>
            <w:proofErr w:type="spellEnd"/>
          </w:p>
        </w:tc>
        <w:tc>
          <w:tcPr>
            <w:tcW w:w="878" w:type="dxa"/>
            <w:tcBorders>
              <w:top w:val="single" w:sz="8" w:space="0" w:color="auto"/>
              <w:bottom w:val="single" w:sz="8" w:space="0" w:color="auto"/>
            </w:tcBorders>
          </w:tcPr>
          <w:p w14:paraId="117C4AB1" w14:textId="77777777" w:rsidR="00492CCC" w:rsidRPr="00492CCC" w:rsidRDefault="00492CCC" w:rsidP="00492CCC">
            <w:pPr>
              <w:spacing w:line="240" w:lineRule="auto"/>
              <w:jc w:val="center"/>
              <w:rPr>
                <w:rFonts w:cstheme="minorHAnsi"/>
                <w:i/>
                <w:iCs/>
              </w:rPr>
            </w:pPr>
            <w:r w:rsidRPr="00492CCC">
              <w:rPr>
                <w:rFonts w:cstheme="minorHAnsi"/>
                <w:i/>
                <w:iCs/>
              </w:rPr>
              <w:t>p</w:t>
            </w:r>
          </w:p>
        </w:tc>
      </w:tr>
      <w:tr w:rsidR="00492CCC" w:rsidRPr="00492CCC" w14:paraId="3C7B1C2A" w14:textId="77777777" w:rsidTr="00492CCC">
        <w:tc>
          <w:tcPr>
            <w:tcW w:w="2520" w:type="dxa"/>
            <w:tcBorders>
              <w:top w:val="single" w:sz="8" w:space="0" w:color="auto"/>
            </w:tcBorders>
          </w:tcPr>
          <w:p w14:paraId="7C71E5F9" w14:textId="77777777" w:rsidR="00492CCC" w:rsidRPr="00492CCC" w:rsidRDefault="00492CCC" w:rsidP="00492CCC">
            <w:pPr>
              <w:spacing w:line="240" w:lineRule="auto"/>
            </w:pPr>
            <w:r w:rsidRPr="00492CCC">
              <w:t>Social Justice Scale composite</w:t>
            </w:r>
          </w:p>
        </w:tc>
        <w:tc>
          <w:tcPr>
            <w:tcW w:w="877" w:type="dxa"/>
            <w:tcBorders>
              <w:top w:val="single" w:sz="8" w:space="0" w:color="auto"/>
            </w:tcBorders>
          </w:tcPr>
          <w:p w14:paraId="38907931" w14:textId="77777777" w:rsidR="00492CCC" w:rsidRPr="00492CCC" w:rsidRDefault="00492CCC" w:rsidP="00492CCC">
            <w:pPr>
              <w:spacing w:line="240" w:lineRule="auto"/>
              <w:jc w:val="center"/>
              <w:rPr>
                <w:rFonts w:cstheme="minorHAnsi"/>
              </w:rPr>
            </w:pPr>
            <w:r w:rsidRPr="00492CCC">
              <w:rPr>
                <w:rFonts w:cstheme="minorHAnsi"/>
              </w:rPr>
              <w:t>150.00</w:t>
            </w:r>
          </w:p>
        </w:tc>
        <w:tc>
          <w:tcPr>
            <w:tcW w:w="878" w:type="dxa"/>
            <w:tcBorders>
              <w:top w:val="single" w:sz="8" w:space="0" w:color="auto"/>
            </w:tcBorders>
          </w:tcPr>
          <w:p w14:paraId="198630D5" w14:textId="77777777" w:rsidR="00492CCC" w:rsidRPr="00492CCC" w:rsidRDefault="00492CCC" w:rsidP="00492CCC">
            <w:pPr>
              <w:spacing w:line="240" w:lineRule="auto"/>
              <w:jc w:val="center"/>
              <w:rPr>
                <w:rFonts w:cstheme="minorHAnsi"/>
              </w:rPr>
            </w:pPr>
            <w:r w:rsidRPr="00492CCC">
              <w:rPr>
                <w:rFonts w:cstheme="minorHAnsi"/>
              </w:rPr>
              <w:t>119.00</w:t>
            </w:r>
          </w:p>
        </w:tc>
        <w:tc>
          <w:tcPr>
            <w:tcW w:w="945" w:type="dxa"/>
            <w:tcBorders>
              <w:top w:val="single" w:sz="8" w:space="0" w:color="auto"/>
            </w:tcBorders>
          </w:tcPr>
          <w:p w14:paraId="4C0C21A9" w14:textId="77777777" w:rsidR="00492CCC" w:rsidRPr="00492CCC" w:rsidRDefault="00492CCC" w:rsidP="00492CCC">
            <w:pPr>
              <w:spacing w:line="240" w:lineRule="auto"/>
              <w:jc w:val="center"/>
              <w:rPr>
                <w:rFonts w:cstheme="minorHAnsi"/>
              </w:rPr>
            </w:pPr>
            <w:r w:rsidRPr="00492CCC">
              <w:rPr>
                <w:rFonts w:cstheme="minorHAnsi"/>
              </w:rPr>
              <w:t>171.00</w:t>
            </w:r>
          </w:p>
        </w:tc>
        <w:tc>
          <w:tcPr>
            <w:tcW w:w="810" w:type="dxa"/>
            <w:tcBorders>
              <w:top w:val="single" w:sz="8" w:space="0" w:color="auto"/>
            </w:tcBorders>
          </w:tcPr>
          <w:p w14:paraId="087438C6" w14:textId="77777777" w:rsidR="00492CCC" w:rsidRPr="00492CCC" w:rsidRDefault="00492CCC" w:rsidP="00492CCC">
            <w:pPr>
              <w:spacing w:line="240" w:lineRule="auto"/>
              <w:jc w:val="center"/>
              <w:rPr>
                <w:rFonts w:cstheme="minorHAnsi"/>
              </w:rPr>
            </w:pPr>
            <w:r w:rsidRPr="00492CCC">
              <w:rPr>
                <w:rFonts w:cstheme="minorHAnsi"/>
              </w:rPr>
              <w:t>152.32</w:t>
            </w:r>
          </w:p>
        </w:tc>
        <w:tc>
          <w:tcPr>
            <w:tcW w:w="877" w:type="dxa"/>
            <w:tcBorders>
              <w:top w:val="single" w:sz="8" w:space="0" w:color="auto"/>
            </w:tcBorders>
          </w:tcPr>
          <w:p w14:paraId="6DB2B861" w14:textId="77777777" w:rsidR="00492CCC" w:rsidRPr="00492CCC" w:rsidRDefault="00492CCC" w:rsidP="00492CCC">
            <w:pPr>
              <w:spacing w:line="240" w:lineRule="auto"/>
              <w:jc w:val="center"/>
              <w:rPr>
                <w:rFonts w:cstheme="minorHAnsi"/>
              </w:rPr>
            </w:pPr>
            <w:r w:rsidRPr="00492CCC">
              <w:rPr>
                <w:rFonts w:cstheme="minorHAnsi"/>
              </w:rPr>
              <w:t>123.00</w:t>
            </w:r>
          </w:p>
        </w:tc>
        <w:tc>
          <w:tcPr>
            <w:tcW w:w="923" w:type="dxa"/>
            <w:tcBorders>
              <w:top w:val="single" w:sz="8" w:space="0" w:color="auto"/>
            </w:tcBorders>
          </w:tcPr>
          <w:p w14:paraId="7C5840C5" w14:textId="77777777" w:rsidR="00492CCC" w:rsidRPr="00492CCC" w:rsidRDefault="00492CCC" w:rsidP="00492CCC">
            <w:pPr>
              <w:spacing w:line="240" w:lineRule="auto"/>
              <w:jc w:val="center"/>
              <w:rPr>
                <w:rFonts w:cstheme="minorHAnsi"/>
              </w:rPr>
            </w:pPr>
            <w:r w:rsidRPr="00492CCC">
              <w:rPr>
                <w:rFonts w:cstheme="minorHAnsi"/>
              </w:rPr>
              <w:t>168.00</w:t>
            </w:r>
          </w:p>
        </w:tc>
        <w:tc>
          <w:tcPr>
            <w:tcW w:w="832" w:type="dxa"/>
            <w:tcBorders>
              <w:top w:val="single" w:sz="8" w:space="0" w:color="auto"/>
            </w:tcBorders>
          </w:tcPr>
          <w:p w14:paraId="60B9B62F" w14:textId="77777777" w:rsidR="00492CCC" w:rsidRPr="00492CCC" w:rsidRDefault="00492CCC" w:rsidP="00492CCC">
            <w:pPr>
              <w:spacing w:line="240" w:lineRule="auto"/>
              <w:jc w:val="center"/>
              <w:rPr>
                <w:rFonts w:cstheme="minorHAnsi"/>
              </w:rPr>
            </w:pPr>
            <w:r w:rsidRPr="00492CCC">
              <w:rPr>
                <w:rFonts w:cstheme="minorHAnsi"/>
              </w:rPr>
              <w:t>−2.32</w:t>
            </w:r>
          </w:p>
        </w:tc>
        <w:tc>
          <w:tcPr>
            <w:tcW w:w="878" w:type="dxa"/>
            <w:tcBorders>
              <w:top w:val="single" w:sz="8" w:space="0" w:color="auto"/>
            </w:tcBorders>
          </w:tcPr>
          <w:p w14:paraId="4F8F0336" w14:textId="77777777" w:rsidR="00492CCC" w:rsidRPr="00492CCC" w:rsidRDefault="00492CCC" w:rsidP="00492CCC">
            <w:pPr>
              <w:spacing w:line="240" w:lineRule="auto"/>
              <w:jc w:val="center"/>
              <w:rPr>
                <w:rFonts w:cstheme="minorHAnsi"/>
              </w:rPr>
            </w:pPr>
            <w:r w:rsidRPr="00492CCC">
              <w:rPr>
                <w:rFonts w:cstheme="minorHAnsi"/>
              </w:rPr>
              <w:t>.08</w:t>
            </w:r>
          </w:p>
        </w:tc>
      </w:tr>
      <w:tr w:rsidR="00492CCC" w:rsidRPr="00492CCC" w14:paraId="7325C853" w14:textId="77777777" w:rsidTr="00492CCC">
        <w:tc>
          <w:tcPr>
            <w:tcW w:w="2520" w:type="dxa"/>
          </w:tcPr>
          <w:p w14:paraId="59F44029" w14:textId="77777777" w:rsidR="00492CCC" w:rsidRPr="00492CCC" w:rsidRDefault="00492CCC" w:rsidP="00492CCC">
            <w:pPr>
              <w:spacing w:line="240" w:lineRule="auto"/>
            </w:pPr>
            <w:r w:rsidRPr="00492CCC">
              <w:t>Attitudes subscale</w:t>
            </w:r>
          </w:p>
        </w:tc>
        <w:tc>
          <w:tcPr>
            <w:tcW w:w="877" w:type="dxa"/>
          </w:tcPr>
          <w:p w14:paraId="0A4E5AFC" w14:textId="77777777" w:rsidR="00492CCC" w:rsidRPr="00492CCC" w:rsidRDefault="00492CCC" w:rsidP="00492CCC">
            <w:pPr>
              <w:spacing w:line="240" w:lineRule="auto"/>
              <w:jc w:val="center"/>
              <w:rPr>
                <w:rFonts w:cstheme="minorHAnsi"/>
              </w:rPr>
            </w:pPr>
            <w:r w:rsidRPr="00492CCC">
              <w:rPr>
                <w:rFonts w:cstheme="minorHAnsi"/>
              </w:rPr>
              <w:t>74.50</w:t>
            </w:r>
          </w:p>
        </w:tc>
        <w:tc>
          <w:tcPr>
            <w:tcW w:w="878" w:type="dxa"/>
          </w:tcPr>
          <w:p w14:paraId="7B053336" w14:textId="77777777" w:rsidR="00492CCC" w:rsidRPr="00492CCC" w:rsidRDefault="00492CCC" w:rsidP="00492CCC">
            <w:pPr>
              <w:spacing w:line="240" w:lineRule="auto"/>
              <w:jc w:val="center"/>
              <w:rPr>
                <w:rFonts w:cstheme="minorHAnsi"/>
              </w:rPr>
            </w:pPr>
            <w:r w:rsidRPr="00492CCC">
              <w:rPr>
                <w:rFonts w:cstheme="minorHAnsi"/>
              </w:rPr>
              <w:t>56.00</w:t>
            </w:r>
          </w:p>
        </w:tc>
        <w:tc>
          <w:tcPr>
            <w:tcW w:w="945" w:type="dxa"/>
          </w:tcPr>
          <w:p w14:paraId="118A8B44" w14:textId="77777777" w:rsidR="00492CCC" w:rsidRPr="00492CCC" w:rsidRDefault="00492CCC" w:rsidP="00492CCC">
            <w:pPr>
              <w:spacing w:line="240" w:lineRule="auto"/>
              <w:jc w:val="center"/>
              <w:rPr>
                <w:rFonts w:cstheme="minorHAnsi"/>
              </w:rPr>
            </w:pPr>
            <w:r w:rsidRPr="00492CCC">
              <w:rPr>
                <w:rFonts w:cstheme="minorHAnsi"/>
              </w:rPr>
              <w:t>77.00</w:t>
            </w:r>
          </w:p>
        </w:tc>
        <w:tc>
          <w:tcPr>
            <w:tcW w:w="810" w:type="dxa"/>
          </w:tcPr>
          <w:p w14:paraId="0B0D71DE" w14:textId="77777777" w:rsidR="00492CCC" w:rsidRPr="00492CCC" w:rsidRDefault="00492CCC" w:rsidP="00492CCC">
            <w:pPr>
              <w:spacing w:line="240" w:lineRule="auto"/>
              <w:jc w:val="center"/>
              <w:rPr>
                <w:rFonts w:cstheme="minorHAnsi"/>
              </w:rPr>
            </w:pPr>
            <w:r w:rsidRPr="00492CCC">
              <w:rPr>
                <w:rFonts w:cstheme="minorHAnsi"/>
              </w:rPr>
              <w:t>74.04</w:t>
            </w:r>
          </w:p>
        </w:tc>
        <w:tc>
          <w:tcPr>
            <w:tcW w:w="877" w:type="dxa"/>
          </w:tcPr>
          <w:p w14:paraId="1DD6140A" w14:textId="77777777" w:rsidR="00492CCC" w:rsidRPr="00492CCC" w:rsidRDefault="00492CCC" w:rsidP="00492CCC">
            <w:pPr>
              <w:spacing w:line="240" w:lineRule="auto"/>
              <w:jc w:val="center"/>
              <w:rPr>
                <w:rFonts w:cstheme="minorHAnsi"/>
              </w:rPr>
            </w:pPr>
            <w:r w:rsidRPr="00492CCC">
              <w:rPr>
                <w:rFonts w:cstheme="minorHAnsi"/>
              </w:rPr>
              <w:t>59.00</w:t>
            </w:r>
          </w:p>
        </w:tc>
        <w:tc>
          <w:tcPr>
            <w:tcW w:w="923" w:type="dxa"/>
          </w:tcPr>
          <w:p w14:paraId="38CB7490" w14:textId="77777777" w:rsidR="00492CCC" w:rsidRPr="00492CCC" w:rsidRDefault="00492CCC" w:rsidP="00492CCC">
            <w:pPr>
              <w:spacing w:line="240" w:lineRule="auto"/>
              <w:jc w:val="center"/>
              <w:rPr>
                <w:rFonts w:cstheme="minorHAnsi"/>
              </w:rPr>
            </w:pPr>
            <w:r w:rsidRPr="00492CCC">
              <w:rPr>
                <w:rFonts w:cstheme="minorHAnsi"/>
              </w:rPr>
              <w:t>77.00</w:t>
            </w:r>
          </w:p>
        </w:tc>
        <w:tc>
          <w:tcPr>
            <w:tcW w:w="832" w:type="dxa"/>
          </w:tcPr>
          <w:p w14:paraId="7043833D" w14:textId="77777777" w:rsidR="00492CCC" w:rsidRPr="00492CCC" w:rsidRDefault="00492CCC" w:rsidP="00492CCC">
            <w:pPr>
              <w:spacing w:line="240" w:lineRule="auto"/>
              <w:jc w:val="center"/>
              <w:rPr>
                <w:rFonts w:cstheme="minorHAnsi"/>
              </w:rPr>
            </w:pPr>
            <w:r w:rsidRPr="00492CCC">
              <w:rPr>
                <w:rFonts w:cstheme="minorHAnsi"/>
              </w:rPr>
              <w:t>0.46</w:t>
            </w:r>
          </w:p>
        </w:tc>
        <w:tc>
          <w:tcPr>
            <w:tcW w:w="878" w:type="dxa"/>
          </w:tcPr>
          <w:p w14:paraId="690EAD93" w14:textId="77777777" w:rsidR="00492CCC" w:rsidRPr="00492CCC" w:rsidRDefault="00492CCC" w:rsidP="00492CCC">
            <w:pPr>
              <w:spacing w:line="240" w:lineRule="auto"/>
              <w:jc w:val="center"/>
              <w:rPr>
                <w:rFonts w:cstheme="minorHAnsi"/>
              </w:rPr>
            </w:pPr>
            <w:r w:rsidRPr="00492CCC">
              <w:rPr>
                <w:rFonts w:cstheme="minorHAnsi"/>
              </w:rPr>
              <w:t>.46</w:t>
            </w:r>
          </w:p>
        </w:tc>
      </w:tr>
      <w:tr w:rsidR="00492CCC" w:rsidRPr="00492CCC" w14:paraId="4824B104" w14:textId="77777777" w:rsidTr="00492CCC">
        <w:tc>
          <w:tcPr>
            <w:tcW w:w="2520" w:type="dxa"/>
          </w:tcPr>
          <w:p w14:paraId="0B8315E3" w14:textId="77777777" w:rsidR="00492CCC" w:rsidRPr="00492CCC" w:rsidRDefault="00492CCC" w:rsidP="00492CCC">
            <w:pPr>
              <w:spacing w:line="240" w:lineRule="auto"/>
            </w:pPr>
            <w:r w:rsidRPr="00492CCC">
              <w:t>Behavioral Control subscale</w:t>
            </w:r>
          </w:p>
        </w:tc>
        <w:tc>
          <w:tcPr>
            <w:tcW w:w="877" w:type="dxa"/>
          </w:tcPr>
          <w:p w14:paraId="3EEB5126" w14:textId="77777777" w:rsidR="00492CCC" w:rsidRPr="00492CCC" w:rsidRDefault="00492CCC" w:rsidP="00492CCC">
            <w:pPr>
              <w:spacing w:line="240" w:lineRule="auto"/>
              <w:jc w:val="center"/>
              <w:rPr>
                <w:rFonts w:cstheme="minorHAnsi"/>
              </w:rPr>
            </w:pPr>
            <w:r w:rsidRPr="00492CCC">
              <w:rPr>
                <w:rFonts w:cstheme="minorHAnsi"/>
              </w:rPr>
              <w:t>32.00</w:t>
            </w:r>
          </w:p>
        </w:tc>
        <w:tc>
          <w:tcPr>
            <w:tcW w:w="878" w:type="dxa"/>
          </w:tcPr>
          <w:p w14:paraId="6494F4AC" w14:textId="77777777" w:rsidR="00492CCC" w:rsidRPr="00492CCC" w:rsidRDefault="00492CCC" w:rsidP="00492CCC">
            <w:pPr>
              <w:spacing w:line="240" w:lineRule="auto"/>
              <w:jc w:val="center"/>
              <w:rPr>
                <w:rFonts w:cstheme="minorHAnsi"/>
              </w:rPr>
            </w:pPr>
            <w:r w:rsidRPr="00492CCC">
              <w:rPr>
                <w:rFonts w:cstheme="minorHAnsi"/>
              </w:rPr>
              <w:t>20.00</w:t>
            </w:r>
          </w:p>
        </w:tc>
        <w:tc>
          <w:tcPr>
            <w:tcW w:w="945" w:type="dxa"/>
          </w:tcPr>
          <w:p w14:paraId="417B4A78" w14:textId="77777777" w:rsidR="00492CCC" w:rsidRPr="00492CCC" w:rsidRDefault="00492CCC" w:rsidP="00492CCC">
            <w:pPr>
              <w:spacing w:line="240" w:lineRule="auto"/>
              <w:jc w:val="center"/>
              <w:rPr>
                <w:rFonts w:cstheme="minorHAnsi"/>
              </w:rPr>
            </w:pPr>
            <w:r w:rsidRPr="00492CCC">
              <w:rPr>
                <w:rFonts w:cstheme="minorHAnsi"/>
              </w:rPr>
              <w:t>41.00</w:t>
            </w:r>
          </w:p>
        </w:tc>
        <w:tc>
          <w:tcPr>
            <w:tcW w:w="810" w:type="dxa"/>
          </w:tcPr>
          <w:p w14:paraId="31E4AB38" w14:textId="77777777" w:rsidR="00492CCC" w:rsidRPr="00492CCC" w:rsidRDefault="00492CCC" w:rsidP="00492CCC">
            <w:pPr>
              <w:spacing w:line="240" w:lineRule="auto"/>
              <w:jc w:val="center"/>
              <w:rPr>
                <w:rFonts w:cstheme="minorHAnsi"/>
              </w:rPr>
            </w:pPr>
            <w:r w:rsidRPr="00492CCC">
              <w:rPr>
                <w:rFonts w:cstheme="minorHAnsi"/>
              </w:rPr>
              <w:t>32.49</w:t>
            </w:r>
          </w:p>
        </w:tc>
        <w:tc>
          <w:tcPr>
            <w:tcW w:w="877" w:type="dxa"/>
          </w:tcPr>
          <w:p w14:paraId="2C896414" w14:textId="77777777" w:rsidR="00492CCC" w:rsidRPr="00492CCC" w:rsidRDefault="00492CCC" w:rsidP="00492CCC">
            <w:pPr>
              <w:spacing w:line="240" w:lineRule="auto"/>
              <w:jc w:val="center"/>
              <w:rPr>
                <w:rFonts w:cstheme="minorHAnsi"/>
              </w:rPr>
            </w:pPr>
            <w:r w:rsidRPr="00492CCC">
              <w:rPr>
                <w:rFonts w:cstheme="minorHAnsi"/>
              </w:rPr>
              <w:t>25.00</w:t>
            </w:r>
          </w:p>
        </w:tc>
        <w:tc>
          <w:tcPr>
            <w:tcW w:w="923" w:type="dxa"/>
          </w:tcPr>
          <w:p w14:paraId="2DD119D9" w14:textId="77777777" w:rsidR="00492CCC" w:rsidRPr="00492CCC" w:rsidRDefault="00492CCC" w:rsidP="00492CCC">
            <w:pPr>
              <w:spacing w:line="240" w:lineRule="auto"/>
              <w:jc w:val="center"/>
              <w:rPr>
                <w:rFonts w:cstheme="minorHAnsi"/>
              </w:rPr>
            </w:pPr>
            <w:r w:rsidRPr="00492CCC">
              <w:rPr>
                <w:rFonts w:cstheme="minorHAnsi"/>
              </w:rPr>
              <w:t>35.00</w:t>
            </w:r>
          </w:p>
        </w:tc>
        <w:tc>
          <w:tcPr>
            <w:tcW w:w="832" w:type="dxa"/>
          </w:tcPr>
          <w:p w14:paraId="49D977B8" w14:textId="77777777" w:rsidR="00492CCC" w:rsidRPr="00492CCC" w:rsidRDefault="00492CCC" w:rsidP="00492CCC">
            <w:pPr>
              <w:spacing w:line="240" w:lineRule="auto"/>
              <w:jc w:val="center"/>
              <w:rPr>
                <w:rFonts w:cstheme="minorHAnsi"/>
              </w:rPr>
            </w:pPr>
            <w:r w:rsidRPr="00492CCC">
              <w:rPr>
                <w:rFonts w:cstheme="minorHAnsi"/>
              </w:rPr>
              <w:t>−0.49</w:t>
            </w:r>
          </w:p>
        </w:tc>
        <w:tc>
          <w:tcPr>
            <w:tcW w:w="878" w:type="dxa"/>
          </w:tcPr>
          <w:p w14:paraId="36D2982C" w14:textId="77777777" w:rsidR="00492CCC" w:rsidRPr="00492CCC" w:rsidRDefault="00492CCC" w:rsidP="00492CCC">
            <w:pPr>
              <w:spacing w:line="240" w:lineRule="auto"/>
              <w:jc w:val="center"/>
              <w:rPr>
                <w:rFonts w:cstheme="minorHAnsi"/>
              </w:rPr>
            </w:pPr>
            <w:r w:rsidRPr="00492CCC">
              <w:rPr>
                <w:rFonts w:cstheme="minorHAnsi"/>
              </w:rPr>
              <w:t>.51</w:t>
            </w:r>
          </w:p>
        </w:tc>
      </w:tr>
      <w:tr w:rsidR="00492CCC" w:rsidRPr="00492CCC" w14:paraId="66CFDEF3" w14:textId="77777777" w:rsidTr="00492CCC">
        <w:tc>
          <w:tcPr>
            <w:tcW w:w="2520" w:type="dxa"/>
          </w:tcPr>
          <w:p w14:paraId="42A7C8E9" w14:textId="77777777" w:rsidR="00492CCC" w:rsidRPr="00492CCC" w:rsidRDefault="00492CCC" w:rsidP="00492CCC">
            <w:pPr>
              <w:spacing w:line="240" w:lineRule="auto"/>
            </w:pPr>
            <w:r w:rsidRPr="00492CCC">
              <w:t>Subjective Norms subscale</w:t>
            </w:r>
          </w:p>
        </w:tc>
        <w:tc>
          <w:tcPr>
            <w:tcW w:w="877" w:type="dxa"/>
          </w:tcPr>
          <w:p w14:paraId="39D3600C" w14:textId="77777777" w:rsidR="00492CCC" w:rsidRPr="00492CCC" w:rsidRDefault="00492CCC" w:rsidP="00492CCC">
            <w:pPr>
              <w:spacing w:line="240" w:lineRule="auto"/>
              <w:jc w:val="center"/>
              <w:rPr>
                <w:rFonts w:cstheme="minorHAnsi"/>
              </w:rPr>
            </w:pPr>
            <w:r w:rsidRPr="00492CCC">
              <w:rPr>
                <w:rFonts w:cstheme="minorHAnsi"/>
              </w:rPr>
              <w:t>19.00</w:t>
            </w:r>
          </w:p>
        </w:tc>
        <w:tc>
          <w:tcPr>
            <w:tcW w:w="878" w:type="dxa"/>
          </w:tcPr>
          <w:p w14:paraId="7D18782F" w14:textId="77777777" w:rsidR="00492CCC" w:rsidRPr="00492CCC" w:rsidRDefault="00492CCC" w:rsidP="00492CCC">
            <w:pPr>
              <w:spacing w:line="240" w:lineRule="auto"/>
              <w:jc w:val="center"/>
              <w:rPr>
                <w:rFonts w:cstheme="minorHAnsi"/>
              </w:rPr>
            </w:pPr>
            <w:r w:rsidRPr="00492CCC">
              <w:rPr>
                <w:rFonts w:cstheme="minorHAnsi"/>
              </w:rPr>
              <w:t>5.00</w:t>
            </w:r>
          </w:p>
        </w:tc>
        <w:tc>
          <w:tcPr>
            <w:tcW w:w="945" w:type="dxa"/>
          </w:tcPr>
          <w:p w14:paraId="2EC79C62" w14:textId="77777777" w:rsidR="00492CCC" w:rsidRPr="00492CCC" w:rsidRDefault="00492CCC" w:rsidP="00492CCC">
            <w:pPr>
              <w:spacing w:line="240" w:lineRule="auto"/>
              <w:jc w:val="center"/>
              <w:rPr>
                <w:rFonts w:cstheme="minorHAnsi"/>
              </w:rPr>
            </w:pPr>
            <w:r w:rsidRPr="00492CCC">
              <w:rPr>
                <w:rFonts w:cstheme="minorHAnsi"/>
              </w:rPr>
              <w:t>28.00</w:t>
            </w:r>
          </w:p>
        </w:tc>
        <w:tc>
          <w:tcPr>
            <w:tcW w:w="810" w:type="dxa"/>
          </w:tcPr>
          <w:p w14:paraId="3AC73870" w14:textId="77777777" w:rsidR="00492CCC" w:rsidRPr="00492CCC" w:rsidRDefault="00492CCC" w:rsidP="00492CCC">
            <w:pPr>
              <w:spacing w:line="240" w:lineRule="auto"/>
              <w:jc w:val="center"/>
              <w:rPr>
                <w:rFonts w:cstheme="minorHAnsi"/>
              </w:rPr>
            </w:pPr>
            <w:r w:rsidRPr="00492CCC">
              <w:rPr>
                <w:rFonts w:cstheme="minorHAnsi"/>
              </w:rPr>
              <w:t>20.87</w:t>
            </w:r>
          </w:p>
        </w:tc>
        <w:tc>
          <w:tcPr>
            <w:tcW w:w="877" w:type="dxa"/>
          </w:tcPr>
          <w:p w14:paraId="07CCFC8E" w14:textId="77777777" w:rsidR="00492CCC" w:rsidRPr="00492CCC" w:rsidRDefault="00492CCC" w:rsidP="00492CCC">
            <w:pPr>
              <w:spacing w:line="240" w:lineRule="auto"/>
              <w:jc w:val="center"/>
              <w:rPr>
                <w:rFonts w:cstheme="minorHAnsi"/>
              </w:rPr>
            </w:pPr>
            <w:r w:rsidRPr="00492CCC">
              <w:rPr>
                <w:rFonts w:cstheme="minorHAnsi"/>
              </w:rPr>
              <w:t>13.00</w:t>
            </w:r>
          </w:p>
        </w:tc>
        <w:tc>
          <w:tcPr>
            <w:tcW w:w="923" w:type="dxa"/>
          </w:tcPr>
          <w:p w14:paraId="5E017B39" w14:textId="77777777" w:rsidR="00492CCC" w:rsidRPr="00492CCC" w:rsidRDefault="00492CCC" w:rsidP="00492CCC">
            <w:pPr>
              <w:spacing w:line="240" w:lineRule="auto"/>
              <w:jc w:val="center"/>
              <w:rPr>
                <w:rFonts w:cstheme="minorHAnsi"/>
              </w:rPr>
            </w:pPr>
            <w:r w:rsidRPr="00492CCC">
              <w:rPr>
                <w:rFonts w:cstheme="minorHAnsi"/>
              </w:rPr>
              <w:t>28.00</w:t>
            </w:r>
          </w:p>
        </w:tc>
        <w:tc>
          <w:tcPr>
            <w:tcW w:w="832" w:type="dxa"/>
          </w:tcPr>
          <w:p w14:paraId="79E116EA" w14:textId="77777777" w:rsidR="00492CCC" w:rsidRPr="00492CCC" w:rsidRDefault="00492CCC" w:rsidP="00492CCC">
            <w:pPr>
              <w:spacing w:line="240" w:lineRule="auto"/>
              <w:jc w:val="center"/>
              <w:rPr>
                <w:rFonts w:cstheme="minorHAnsi"/>
              </w:rPr>
            </w:pPr>
            <w:r w:rsidRPr="00492CCC">
              <w:rPr>
                <w:rFonts w:cstheme="minorHAnsi"/>
              </w:rPr>
              <w:t>−1.87</w:t>
            </w:r>
          </w:p>
        </w:tc>
        <w:tc>
          <w:tcPr>
            <w:tcW w:w="878" w:type="dxa"/>
          </w:tcPr>
          <w:p w14:paraId="4B390DB6" w14:textId="77777777" w:rsidR="00492CCC" w:rsidRPr="00492CCC" w:rsidRDefault="00492CCC" w:rsidP="00492CCC">
            <w:pPr>
              <w:spacing w:line="240" w:lineRule="auto"/>
              <w:jc w:val="center"/>
              <w:rPr>
                <w:rFonts w:cstheme="minorHAnsi"/>
              </w:rPr>
            </w:pPr>
            <w:r w:rsidRPr="00492CCC">
              <w:rPr>
                <w:rFonts w:cstheme="minorHAnsi"/>
              </w:rPr>
              <w:t>&lt;.05</w:t>
            </w:r>
          </w:p>
        </w:tc>
      </w:tr>
      <w:tr w:rsidR="00492CCC" w:rsidRPr="00492CCC" w14:paraId="0CCB263E" w14:textId="77777777" w:rsidTr="00492CCC">
        <w:tc>
          <w:tcPr>
            <w:tcW w:w="2520" w:type="dxa"/>
            <w:tcBorders>
              <w:bottom w:val="single" w:sz="8" w:space="0" w:color="auto"/>
            </w:tcBorders>
          </w:tcPr>
          <w:p w14:paraId="4FA8F654" w14:textId="77777777" w:rsidR="00492CCC" w:rsidRPr="00492CCC" w:rsidRDefault="00492CCC" w:rsidP="00492CCC">
            <w:pPr>
              <w:spacing w:line="240" w:lineRule="auto"/>
            </w:pPr>
            <w:r w:rsidRPr="00492CCC">
              <w:t>Behavioral Intentions subscale</w:t>
            </w:r>
          </w:p>
        </w:tc>
        <w:tc>
          <w:tcPr>
            <w:tcW w:w="877" w:type="dxa"/>
            <w:tcBorders>
              <w:bottom w:val="single" w:sz="8" w:space="0" w:color="auto"/>
            </w:tcBorders>
          </w:tcPr>
          <w:p w14:paraId="1FFEDD7E" w14:textId="77777777" w:rsidR="00492CCC" w:rsidRPr="00492CCC" w:rsidRDefault="00492CCC" w:rsidP="00492CCC">
            <w:pPr>
              <w:spacing w:line="240" w:lineRule="auto"/>
              <w:jc w:val="center"/>
              <w:rPr>
                <w:rFonts w:cstheme="minorHAnsi"/>
              </w:rPr>
            </w:pPr>
            <w:r w:rsidRPr="00492CCC">
              <w:rPr>
                <w:rFonts w:cstheme="minorHAnsi"/>
              </w:rPr>
              <w:t>26.00</w:t>
            </w:r>
          </w:p>
        </w:tc>
        <w:tc>
          <w:tcPr>
            <w:tcW w:w="878" w:type="dxa"/>
            <w:tcBorders>
              <w:bottom w:val="single" w:sz="8" w:space="0" w:color="auto"/>
            </w:tcBorders>
          </w:tcPr>
          <w:p w14:paraId="0F83F09C" w14:textId="77777777" w:rsidR="00492CCC" w:rsidRPr="00492CCC" w:rsidRDefault="00492CCC" w:rsidP="00492CCC">
            <w:pPr>
              <w:spacing w:line="240" w:lineRule="auto"/>
              <w:jc w:val="center"/>
              <w:rPr>
                <w:rFonts w:cstheme="minorHAnsi"/>
              </w:rPr>
            </w:pPr>
            <w:r w:rsidRPr="00492CCC">
              <w:rPr>
                <w:rFonts w:cstheme="minorHAnsi"/>
              </w:rPr>
              <w:t>17.00</w:t>
            </w:r>
          </w:p>
        </w:tc>
        <w:tc>
          <w:tcPr>
            <w:tcW w:w="945" w:type="dxa"/>
            <w:tcBorders>
              <w:bottom w:val="single" w:sz="8" w:space="0" w:color="auto"/>
            </w:tcBorders>
          </w:tcPr>
          <w:p w14:paraId="53B24F3C" w14:textId="77777777" w:rsidR="00492CCC" w:rsidRPr="00492CCC" w:rsidRDefault="00492CCC" w:rsidP="00492CCC">
            <w:pPr>
              <w:spacing w:line="240" w:lineRule="auto"/>
              <w:jc w:val="center"/>
              <w:rPr>
                <w:rFonts w:cstheme="minorHAnsi"/>
              </w:rPr>
            </w:pPr>
            <w:r w:rsidRPr="00492CCC">
              <w:rPr>
                <w:rFonts w:cstheme="minorHAnsi"/>
              </w:rPr>
              <w:t>28.00</w:t>
            </w:r>
          </w:p>
        </w:tc>
        <w:tc>
          <w:tcPr>
            <w:tcW w:w="810" w:type="dxa"/>
            <w:tcBorders>
              <w:bottom w:val="single" w:sz="8" w:space="0" w:color="auto"/>
            </w:tcBorders>
          </w:tcPr>
          <w:p w14:paraId="7A96A455" w14:textId="77777777" w:rsidR="00492CCC" w:rsidRPr="00492CCC" w:rsidRDefault="00492CCC" w:rsidP="00492CCC">
            <w:pPr>
              <w:spacing w:line="240" w:lineRule="auto"/>
              <w:jc w:val="center"/>
              <w:rPr>
                <w:rFonts w:cstheme="minorHAnsi"/>
              </w:rPr>
            </w:pPr>
            <w:r w:rsidRPr="00492CCC">
              <w:rPr>
                <w:rFonts w:cstheme="minorHAnsi"/>
              </w:rPr>
              <w:t>25.47</w:t>
            </w:r>
          </w:p>
        </w:tc>
        <w:tc>
          <w:tcPr>
            <w:tcW w:w="877" w:type="dxa"/>
            <w:tcBorders>
              <w:bottom w:val="single" w:sz="8" w:space="0" w:color="auto"/>
            </w:tcBorders>
          </w:tcPr>
          <w:p w14:paraId="002B5488" w14:textId="77777777" w:rsidR="00492CCC" w:rsidRPr="00492CCC" w:rsidRDefault="00492CCC" w:rsidP="00492CCC">
            <w:pPr>
              <w:spacing w:line="240" w:lineRule="auto"/>
              <w:jc w:val="center"/>
              <w:rPr>
                <w:rFonts w:cstheme="minorHAnsi"/>
              </w:rPr>
            </w:pPr>
            <w:r w:rsidRPr="00492CCC">
              <w:rPr>
                <w:rFonts w:cstheme="minorHAnsi"/>
              </w:rPr>
              <w:t>16.00</w:t>
            </w:r>
          </w:p>
        </w:tc>
        <w:tc>
          <w:tcPr>
            <w:tcW w:w="923" w:type="dxa"/>
            <w:tcBorders>
              <w:bottom w:val="single" w:sz="8" w:space="0" w:color="auto"/>
            </w:tcBorders>
          </w:tcPr>
          <w:p w14:paraId="19569E6E" w14:textId="77777777" w:rsidR="00492CCC" w:rsidRPr="00492CCC" w:rsidRDefault="00492CCC" w:rsidP="00492CCC">
            <w:pPr>
              <w:spacing w:line="240" w:lineRule="auto"/>
              <w:jc w:val="center"/>
              <w:rPr>
                <w:rFonts w:cstheme="minorHAnsi"/>
              </w:rPr>
            </w:pPr>
            <w:r w:rsidRPr="00492CCC">
              <w:rPr>
                <w:rFonts w:cstheme="minorHAnsi"/>
              </w:rPr>
              <w:t>28.00</w:t>
            </w:r>
          </w:p>
        </w:tc>
        <w:tc>
          <w:tcPr>
            <w:tcW w:w="832" w:type="dxa"/>
            <w:tcBorders>
              <w:bottom w:val="single" w:sz="8" w:space="0" w:color="auto"/>
            </w:tcBorders>
          </w:tcPr>
          <w:p w14:paraId="2B089E35" w14:textId="77777777" w:rsidR="00492CCC" w:rsidRPr="00492CCC" w:rsidRDefault="00492CCC" w:rsidP="00492CCC">
            <w:pPr>
              <w:spacing w:line="240" w:lineRule="auto"/>
              <w:jc w:val="center"/>
              <w:rPr>
                <w:rFonts w:cstheme="minorHAnsi"/>
              </w:rPr>
            </w:pPr>
            <w:r w:rsidRPr="00492CCC">
              <w:rPr>
                <w:rFonts w:cstheme="minorHAnsi"/>
              </w:rPr>
              <w:t>0.53</w:t>
            </w:r>
          </w:p>
        </w:tc>
        <w:tc>
          <w:tcPr>
            <w:tcW w:w="878" w:type="dxa"/>
            <w:tcBorders>
              <w:bottom w:val="single" w:sz="8" w:space="0" w:color="auto"/>
            </w:tcBorders>
          </w:tcPr>
          <w:p w14:paraId="04AA1A9A" w14:textId="77777777" w:rsidR="00492CCC" w:rsidRPr="00492CCC" w:rsidRDefault="00492CCC" w:rsidP="00492CCC">
            <w:pPr>
              <w:spacing w:line="240" w:lineRule="auto"/>
              <w:jc w:val="center"/>
              <w:rPr>
                <w:rFonts w:cstheme="minorHAnsi"/>
              </w:rPr>
            </w:pPr>
            <w:r w:rsidRPr="00492CCC">
              <w:rPr>
                <w:rFonts w:cstheme="minorHAnsi"/>
              </w:rPr>
              <w:t>.29</w:t>
            </w:r>
          </w:p>
        </w:tc>
      </w:tr>
    </w:tbl>
    <w:p w14:paraId="6886D703" w14:textId="77777777" w:rsidR="00492CCC" w:rsidRPr="00492CCC" w:rsidRDefault="00492CCC" w:rsidP="00492CCC">
      <w:pPr>
        <w:pStyle w:val="BodyText"/>
        <w:ind w:firstLine="0"/>
        <w:rPr>
          <w:rFonts w:cstheme="minorHAnsi"/>
        </w:rPr>
      </w:pPr>
      <w:r w:rsidRPr="00492CCC">
        <w:rPr>
          <w:rFonts w:cstheme="minorHAnsi"/>
          <w:i/>
          <w:iCs/>
        </w:rPr>
        <w:t xml:space="preserve">Note. </w:t>
      </w:r>
      <w:r w:rsidRPr="00492CCC">
        <w:rPr>
          <w:rFonts w:cstheme="minorHAnsi"/>
        </w:rPr>
        <w:t>Min. = minimum; Max. = maximum.</w:t>
      </w:r>
    </w:p>
    <w:p w14:paraId="2C8D0BC0" w14:textId="77777777" w:rsidR="00492CCC" w:rsidRPr="00492CCC" w:rsidRDefault="00492CCC" w:rsidP="00A86E93">
      <w:pPr>
        <w:pStyle w:val="BodyText"/>
        <w:rPr>
          <w:rFonts w:cstheme="minorHAnsi"/>
          <w:color w:val="231F20"/>
        </w:rPr>
      </w:pPr>
    </w:p>
    <w:p w14:paraId="22A9DF4A" w14:textId="30CDD0ED" w:rsidR="00454249" w:rsidRPr="00492CCC" w:rsidRDefault="00463D64" w:rsidP="00492CCC">
      <w:pPr>
        <w:ind w:firstLine="720"/>
        <w:rPr>
          <w:rFonts w:cstheme="minorHAnsi"/>
        </w:rPr>
      </w:pPr>
      <w:r w:rsidRPr="00492CCC">
        <w:rPr>
          <w:rFonts w:cstheme="minorHAnsi"/>
          <w:color w:val="231F20"/>
        </w:rPr>
        <w:lastRenderedPageBreak/>
        <w:t>We used the Kruskal–</w:t>
      </w:r>
      <w:proofErr w:type="gramStart"/>
      <w:r w:rsidRPr="00492CCC">
        <w:rPr>
          <w:rFonts w:cstheme="minorHAnsi"/>
          <w:color w:val="231F20"/>
        </w:rPr>
        <w:t>Wallis</w:t>
      </w:r>
      <w:proofErr w:type="gramEnd"/>
      <w:r w:rsidRPr="00492CCC">
        <w:rPr>
          <w:rFonts w:cstheme="minorHAnsi"/>
          <w:color w:val="231F20"/>
        </w:rPr>
        <w:t xml:space="preserve"> test to explore differences in scores on the SJS between course groups. The analysis revealed significant between-groups differences in students’ scores on the composite SJS, </w:t>
      </w:r>
      <w:proofErr w:type="gramStart"/>
      <w:r w:rsidRPr="00492CCC">
        <w:rPr>
          <w:rFonts w:cstheme="minorHAnsi"/>
          <w:i/>
          <w:color w:val="231F20"/>
        </w:rPr>
        <w:t>H</w:t>
      </w:r>
      <w:r w:rsidRPr="00492CCC">
        <w:rPr>
          <w:rFonts w:cstheme="minorHAnsi"/>
          <w:color w:val="231F20"/>
        </w:rPr>
        <w:t>(</w:t>
      </w:r>
      <w:proofErr w:type="gramEnd"/>
      <w:r w:rsidRPr="00492CCC">
        <w:rPr>
          <w:rFonts w:cstheme="minorHAnsi"/>
          <w:color w:val="231F20"/>
        </w:rPr>
        <w:t xml:space="preserve">2) = 5.86, </w:t>
      </w:r>
      <w:r w:rsidRPr="00492CCC">
        <w:rPr>
          <w:rFonts w:cstheme="minorHAnsi"/>
          <w:i/>
          <w:color w:val="231F20"/>
        </w:rPr>
        <w:t xml:space="preserve">p </w:t>
      </w:r>
      <w:r w:rsidRPr="00492CCC">
        <w:rPr>
          <w:rFonts w:cstheme="minorHAnsi"/>
          <w:color w:val="231F20"/>
        </w:rPr>
        <w:t xml:space="preserve">= .05, and the Subjective Norms subscale, </w:t>
      </w:r>
      <w:r w:rsidRPr="00492CCC">
        <w:rPr>
          <w:rFonts w:cstheme="minorHAnsi"/>
          <w:i/>
          <w:color w:val="231F20"/>
        </w:rPr>
        <w:t>H</w:t>
      </w:r>
      <w:r w:rsidRPr="00492CCC">
        <w:rPr>
          <w:rFonts w:cstheme="minorHAnsi"/>
          <w:color w:val="231F20"/>
        </w:rPr>
        <w:t xml:space="preserve">(2) = 6.72, </w:t>
      </w:r>
      <w:r w:rsidRPr="00492CCC">
        <w:rPr>
          <w:rFonts w:cstheme="minorHAnsi"/>
          <w:i/>
          <w:color w:val="231F20"/>
        </w:rPr>
        <w:t xml:space="preserve">p </w:t>
      </w:r>
      <w:r w:rsidRPr="00492CCC">
        <w:rPr>
          <w:rFonts w:cstheme="minorHAnsi"/>
          <w:color w:val="231F20"/>
        </w:rPr>
        <w:t>&lt; .05. Comparisons across course offerings revealed that students in the second course offering had the greatest increase in scores on the SJS from beginning (</w:t>
      </w:r>
      <w:proofErr w:type="spellStart"/>
      <w:r w:rsidRPr="00492CCC">
        <w:rPr>
          <w:rFonts w:cstheme="minorHAnsi"/>
          <w:i/>
          <w:color w:val="231F20"/>
        </w:rPr>
        <w:t>Mdn</w:t>
      </w:r>
      <w:proofErr w:type="spellEnd"/>
      <w:r w:rsidRPr="00492CCC">
        <w:rPr>
          <w:rFonts w:cstheme="minorHAnsi"/>
          <w:i/>
          <w:color w:val="231F20"/>
        </w:rPr>
        <w:t xml:space="preserve"> </w:t>
      </w:r>
      <w:r w:rsidRPr="00492CCC">
        <w:rPr>
          <w:rFonts w:cstheme="minorHAnsi"/>
          <w:color w:val="231F20"/>
        </w:rPr>
        <w:t>= 144.00) to the end of the course (</w:t>
      </w:r>
      <w:proofErr w:type="spellStart"/>
      <w:r w:rsidRPr="00492CCC">
        <w:rPr>
          <w:rFonts w:cstheme="minorHAnsi"/>
          <w:i/>
          <w:color w:val="231F20"/>
        </w:rPr>
        <w:t>Mdn</w:t>
      </w:r>
      <w:proofErr w:type="spellEnd"/>
      <w:r w:rsidRPr="00492CCC">
        <w:rPr>
          <w:rFonts w:cstheme="minorHAnsi"/>
          <w:i/>
          <w:color w:val="231F20"/>
        </w:rPr>
        <w:t xml:space="preserve"> </w:t>
      </w:r>
      <w:r w:rsidRPr="00492CCC">
        <w:rPr>
          <w:rFonts w:cstheme="minorHAnsi"/>
          <w:color w:val="231F20"/>
        </w:rPr>
        <w:t>= 157.00). Results</w:t>
      </w:r>
      <w:r w:rsidR="00492CCC">
        <w:rPr>
          <w:rFonts w:cstheme="minorHAnsi"/>
          <w:color w:val="231F20"/>
        </w:rPr>
        <w:t xml:space="preserve"> </w:t>
      </w:r>
      <w:r w:rsidRPr="00492CCC">
        <w:rPr>
          <w:rFonts w:cstheme="minorHAnsi"/>
          <w:color w:val="231F20"/>
        </w:rPr>
        <w:t xml:space="preserve">suggest that </w:t>
      </w:r>
      <w:r w:rsidR="00454249" w:rsidRPr="00492CCC">
        <w:rPr>
          <w:rFonts w:cstheme="minorHAnsi"/>
          <w:color w:val="231F20"/>
        </w:rPr>
        <w:t>cumulative scores on the SJS at the end of the course were significantly different between students in the first and third course offering</w:t>
      </w:r>
      <w:r w:rsidR="009C2AD5" w:rsidRPr="00492CCC">
        <w:rPr>
          <w:rFonts w:cstheme="minorHAnsi"/>
          <w:color w:val="231F20"/>
        </w:rPr>
        <w:t>s</w:t>
      </w:r>
      <w:r w:rsidR="00454249" w:rsidRPr="00492CCC">
        <w:rPr>
          <w:rFonts w:cstheme="minorHAnsi"/>
          <w:color w:val="231F20"/>
        </w:rPr>
        <w:t xml:space="preserve"> (</w:t>
      </w:r>
      <w:r w:rsidR="00454249" w:rsidRPr="00492CCC">
        <w:rPr>
          <w:rFonts w:cstheme="minorHAnsi"/>
          <w:i/>
          <w:color w:val="231F20"/>
        </w:rPr>
        <w:t xml:space="preserve">U </w:t>
      </w:r>
      <w:r w:rsidR="00454249" w:rsidRPr="00492CCC">
        <w:rPr>
          <w:rFonts w:cstheme="minorHAnsi"/>
          <w:color w:val="231F20"/>
        </w:rPr>
        <w:t xml:space="preserve">= 83.00, </w:t>
      </w:r>
      <w:r w:rsidR="00454249" w:rsidRPr="00492CCC">
        <w:rPr>
          <w:rFonts w:cstheme="minorHAnsi"/>
          <w:i/>
          <w:color w:val="231F20"/>
        </w:rPr>
        <w:t xml:space="preserve">r </w:t>
      </w:r>
      <w:r w:rsidR="00454249" w:rsidRPr="00492CCC">
        <w:rPr>
          <w:rFonts w:cstheme="minorHAnsi"/>
          <w:color w:val="231F20"/>
        </w:rPr>
        <w:t>= .44)</w:t>
      </w:r>
      <w:r w:rsidRPr="00492CCC">
        <w:rPr>
          <w:rFonts w:cstheme="minorHAnsi"/>
          <w:color w:val="231F20"/>
        </w:rPr>
        <w:t>. S</w:t>
      </w:r>
      <w:r w:rsidR="00454249" w:rsidRPr="00492CCC">
        <w:rPr>
          <w:rFonts w:cstheme="minorHAnsi"/>
          <w:color w:val="231F20"/>
        </w:rPr>
        <w:t xml:space="preserve">cores on the Subjective Norms subscale </w:t>
      </w:r>
      <w:proofErr w:type="gramStart"/>
      <w:r w:rsidR="00454249" w:rsidRPr="00492CCC">
        <w:rPr>
          <w:rFonts w:cstheme="minorHAnsi"/>
          <w:color w:val="231F20"/>
        </w:rPr>
        <w:t>were</w:t>
      </w:r>
      <w:proofErr w:type="gramEnd"/>
      <w:r w:rsidR="00454249" w:rsidRPr="00492CCC">
        <w:rPr>
          <w:rFonts w:cstheme="minorHAnsi"/>
          <w:color w:val="231F20"/>
        </w:rPr>
        <w:t xml:space="preserve"> significantly different between students in the </w:t>
      </w:r>
      <w:r w:rsidR="00383184" w:rsidRPr="00492CCC">
        <w:rPr>
          <w:rFonts w:cstheme="minorHAnsi"/>
          <w:color w:val="231F20"/>
        </w:rPr>
        <w:t>first and second course offerings (</w:t>
      </w:r>
      <w:r w:rsidR="00383184" w:rsidRPr="00492CCC">
        <w:rPr>
          <w:rFonts w:cstheme="minorHAnsi"/>
          <w:i/>
          <w:color w:val="231F20"/>
        </w:rPr>
        <w:t xml:space="preserve">U </w:t>
      </w:r>
      <w:r w:rsidR="00383184" w:rsidRPr="00492CCC">
        <w:rPr>
          <w:rFonts w:cstheme="minorHAnsi"/>
          <w:color w:val="231F20"/>
        </w:rPr>
        <w:t xml:space="preserve">= 141.00, </w:t>
      </w:r>
      <w:r w:rsidR="00383184" w:rsidRPr="00492CCC">
        <w:rPr>
          <w:rFonts w:cstheme="minorHAnsi"/>
          <w:i/>
          <w:color w:val="231F20"/>
        </w:rPr>
        <w:t xml:space="preserve">r </w:t>
      </w:r>
      <w:r w:rsidR="00383184" w:rsidRPr="00492CCC">
        <w:rPr>
          <w:rFonts w:cstheme="minorHAnsi"/>
          <w:color w:val="231F20"/>
        </w:rPr>
        <w:t xml:space="preserve">= .32) </w:t>
      </w:r>
      <w:r w:rsidR="00454249" w:rsidRPr="00492CCC">
        <w:rPr>
          <w:rFonts w:cstheme="minorHAnsi"/>
          <w:color w:val="231F20"/>
        </w:rPr>
        <w:t>and between</w:t>
      </w:r>
      <w:r w:rsidR="00383184" w:rsidRPr="00492CCC">
        <w:rPr>
          <w:rFonts w:cstheme="minorHAnsi"/>
          <w:color w:val="231F20"/>
        </w:rPr>
        <w:t xml:space="preserve"> students in</w:t>
      </w:r>
      <w:r w:rsidR="00454249" w:rsidRPr="00492CCC">
        <w:rPr>
          <w:rFonts w:cstheme="minorHAnsi"/>
          <w:color w:val="231F20"/>
        </w:rPr>
        <w:t xml:space="preserve"> the </w:t>
      </w:r>
      <w:r w:rsidR="00383184" w:rsidRPr="00492CCC">
        <w:rPr>
          <w:rFonts w:cstheme="minorHAnsi"/>
          <w:color w:val="231F20"/>
        </w:rPr>
        <w:t>first and third course offerings (</w:t>
      </w:r>
      <w:r w:rsidR="00383184" w:rsidRPr="00492CCC">
        <w:rPr>
          <w:rFonts w:cstheme="minorHAnsi"/>
          <w:i/>
          <w:color w:val="231F20"/>
        </w:rPr>
        <w:t xml:space="preserve">U </w:t>
      </w:r>
      <w:r w:rsidR="00383184" w:rsidRPr="00492CCC">
        <w:rPr>
          <w:rFonts w:cstheme="minorHAnsi"/>
          <w:color w:val="231F20"/>
        </w:rPr>
        <w:t xml:space="preserve">= 89.50, </w:t>
      </w:r>
      <w:r w:rsidR="00383184" w:rsidRPr="00492CCC">
        <w:rPr>
          <w:rFonts w:cstheme="minorHAnsi"/>
          <w:i/>
          <w:color w:val="231F20"/>
        </w:rPr>
        <w:t xml:space="preserve">r </w:t>
      </w:r>
      <w:r w:rsidR="00383184" w:rsidRPr="00492CCC">
        <w:rPr>
          <w:rFonts w:cstheme="minorHAnsi"/>
          <w:color w:val="231F20"/>
        </w:rPr>
        <w:t>= .41)</w:t>
      </w:r>
      <w:r w:rsidR="00454249" w:rsidRPr="00492CCC">
        <w:rPr>
          <w:rFonts w:cstheme="minorHAnsi"/>
          <w:color w:val="231F20"/>
        </w:rPr>
        <w:t>.</w:t>
      </w:r>
    </w:p>
    <w:p w14:paraId="69E7DFA4" w14:textId="7896AD31" w:rsidR="00454249" w:rsidRPr="00492CCC" w:rsidRDefault="00454249" w:rsidP="00773B36">
      <w:pPr>
        <w:pStyle w:val="Heading2"/>
      </w:pPr>
      <w:r w:rsidRPr="00492CCC">
        <w:t>Qualitative</w:t>
      </w:r>
      <w:r w:rsidR="00FC739A" w:rsidRPr="00492CCC">
        <w:t xml:space="preserve"> Results</w:t>
      </w:r>
    </w:p>
    <w:p w14:paraId="7F7B7489" w14:textId="2521FE33" w:rsidR="00454249" w:rsidRPr="00492CCC" w:rsidRDefault="00454249" w:rsidP="00773B36">
      <w:pPr>
        <w:pStyle w:val="BodyText"/>
        <w:rPr>
          <w:rFonts w:cstheme="minorHAnsi"/>
        </w:rPr>
      </w:pPr>
      <w:r w:rsidRPr="00492CCC">
        <w:rPr>
          <w:rFonts w:cstheme="minorHAnsi"/>
          <w:color w:val="231F20"/>
        </w:rPr>
        <w:t>Results from the qualitative phase of the study complement</w:t>
      </w:r>
      <w:r w:rsidR="00FC739A" w:rsidRPr="00492CCC">
        <w:rPr>
          <w:rFonts w:cstheme="minorHAnsi"/>
          <w:color w:val="231F20"/>
        </w:rPr>
        <w:t>ed</w:t>
      </w:r>
      <w:r w:rsidRPr="00492CCC">
        <w:rPr>
          <w:rFonts w:cstheme="minorHAnsi"/>
          <w:color w:val="231F20"/>
        </w:rPr>
        <w:t xml:space="preserve"> quantitative findings and </w:t>
      </w:r>
      <w:r w:rsidR="00FC739A" w:rsidRPr="00492CCC">
        <w:rPr>
          <w:rFonts w:cstheme="minorHAnsi"/>
          <w:color w:val="231F20"/>
        </w:rPr>
        <w:t xml:space="preserve">allowed us to </w:t>
      </w:r>
      <w:r w:rsidRPr="00492CCC">
        <w:rPr>
          <w:rFonts w:cstheme="minorHAnsi"/>
          <w:color w:val="231F20"/>
        </w:rPr>
        <w:t>understand, more broadly, change in students</w:t>
      </w:r>
      <w:r w:rsidR="00383184" w:rsidRPr="00492CCC">
        <w:rPr>
          <w:rFonts w:cstheme="minorHAnsi"/>
          <w:color w:val="231F20"/>
        </w:rPr>
        <w:t>’</w:t>
      </w:r>
      <w:r w:rsidRPr="00492CCC">
        <w:rPr>
          <w:rFonts w:cstheme="minorHAnsi"/>
          <w:color w:val="231F20"/>
        </w:rPr>
        <w:t xml:space="preserve"> value orientation toward social justice. There were some unique course variations in the analysis. For one, </w:t>
      </w:r>
      <w:proofErr w:type="gramStart"/>
      <w:r w:rsidRPr="00492CCC">
        <w:rPr>
          <w:rFonts w:cstheme="minorHAnsi"/>
          <w:color w:val="231F20"/>
        </w:rPr>
        <w:t>the majority of</w:t>
      </w:r>
      <w:proofErr w:type="gramEnd"/>
      <w:r w:rsidRPr="00492CCC">
        <w:rPr>
          <w:rFonts w:cstheme="minorHAnsi"/>
          <w:color w:val="231F20"/>
        </w:rPr>
        <w:t xml:space="preserve"> student responses in the first</w:t>
      </w:r>
      <w:r w:rsidR="00FC739A" w:rsidRPr="00492CCC">
        <w:rPr>
          <w:rFonts w:cstheme="minorHAnsi"/>
          <w:color w:val="231F20"/>
        </w:rPr>
        <w:t xml:space="preserve"> </w:t>
      </w:r>
      <w:proofErr w:type="gramStart"/>
      <w:r w:rsidRPr="00492CCC">
        <w:rPr>
          <w:rFonts w:cstheme="minorHAnsi"/>
          <w:color w:val="231F20"/>
        </w:rPr>
        <w:t>course offering</w:t>
      </w:r>
      <w:proofErr w:type="gramEnd"/>
      <w:r w:rsidRPr="00492CCC">
        <w:rPr>
          <w:rFonts w:cstheme="minorHAnsi"/>
          <w:color w:val="231F20"/>
        </w:rPr>
        <w:t xml:space="preserve"> focused on awareness and changes in attitudes about social justice issues</w:t>
      </w:r>
      <w:r w:rsidR="00383184" w:rsidRPr="00492CCC">
        <w:rPr>
          <w:rFonts w:cstheme="minorHAnsi"/>
          <w:color w:val="231F20"/>
        </w:rPr>
        <w:t>,</w:t>
      </w:r>
      <w:r w:rsidRPr="00492CCC">
        <w:rPr>
          <w:rFonts w:cstheme="minorHAnsi"/>
          <w:color w:val="231F20"/>
        </w:rPr>
        <w:t xml:space="preserve"> whereas responses in the second and last course offering</w:t>
      </w:r>
      <w:r w:rsidR="009C2AD5" w:rsidRPr="00492CCC">
        <w:rPr>
          <w:rFonts w:cstheme="minorHAnsi"/>
          <w:color w:val="231F20"/>
        </w:rPr>
        <w:t xml:space="preserve">s </w:t>
      </w:r>
      <w:r w:rsidRPr="00492CCC">
        <w:rPr>
          <w:rFonts w:cstheme="minorHAnsi"/>
          <w:color w:val="231F20"/>
        </w:rPr>
        <w:t xml:space="preserve">were more likely to mention behavioral control and actual behaviors. </w:t>
      </w:r>
      <w:proofErr w:type="gramStart"/>
      <w:r w:rsidRPr="00492CCC">
        <w:rPr>
          <w:rFonts w:cstheme="minorHAnsi"/>
          <w:color w:val="231F20"/>
        </w:rPr>
        <w:t>A majority of</w:t>
      </w:r>
      <w:proofErr w:type="gramEnd"/>
      <w:r w:rsidRPr="00492CCC">
        <w:rPr>
          <w:rFonts w:cstheme="minorHAnsi"/>
          <w:color w:val="231F20"/>
        </w:rPr>
        <w:t xml:space="preserve"> codes clustered under the theme called </w:t>
      </w:r>
      <w:r w:rsidR="00383184" w:rsidRPr="00492CCC">
        <w:rPr>
          <w:rFonts w:cstheme="minorHAnsi"/>
          <w:color w:val="231F20"/>
        </w:rPr>
        <w:t>“</w:t>
      </w:r>
      <w:r w:rsidRPr="00492CCC">
        <w:rPr>
          <w:rFonts w:cstheme="minorHAnsi"/>
          <w:color w:val="231F20"/>
        </w:rPr>
        <w:t>improved awareness and attitudes toward social justice.</w:t>
      </w:r>
      <w:r w:rsidR="00383184" w:rsidRPr="00492CCC">
        <w:rPr>
          <w:rFonts w:cstheme="minorHAnsi"/>
          <w:color w:val="231F20"/>
        </w:rPr>
        <w:t>”</w:t>
      </w:r>
      <w:r w:rsidRPr="00492CCC">
        <w:rPr>
          <w:rFonts w:cstheme="minorHAnsi"/>
          <w:color w:val="231F20"/>
        </w:rPr>
        <w:t xml:space="preserve"> Codes in the awareness category included an increased awareness of systemic factors on individuals and</w:t>
      </w:r>
      <w:r w:rsidR="00463D64" w:rsidRPr="00492CCC">
        <w:rPr>
          <w:rFonts w:cstheme="minorHAnsi"/>
          <w:color w:val="231F20"/>
        </w:rPr>
        <w:t xml:space="preserve"> an</w:t>
      </w:r>
      <w:r w:rsidRPr="00492CCC">
        <w:rPr>
          <w:rFonts w:cstheme="minorHAnsi"/>
          <w:color w:val="231F20"/>
        </w:rPr>
        <w:t xml:space="preserve"> increased awareness of issues related to domestic violence, immigration, and mental health. Other codes under the theme suggested students perceive</w:t>
      </w:r>
      <w:r w:rsidR="00D8335B" w:rsidRPr="00492CCC">
        <w:rPr>
          <w:rFonts w:cstheme="minorHAnsi"/>
          <w:color w:val="231F20"/>
        </w:rPr>
        <w:t>d</w:t>
      </w:r>
      <w:r w:rsidRPr="00492CCC">
        <w:rPr>
          <w:rFonts w:cstheme="minorHAnsi"/>
          <w:color w:val="231F20"/>
        </w:rPr>
        <w:t xml:space="preserve"> the course as exposing them to different backgrounds and perspectives. This finding was consistent across all three</w:t>
      </w:r>
      <w:r w:rsidR="00D8335B" w:rsidRPr="00492CCC">
        <w:rPr>
          <w:rFonts w:cstheme="minorHAnsi"/>
          <w:color w:val="231F20"/>
        </w:rPr>
        <w:t xml:space="preserve"> </w:t>
      </w:r>
      <w:r w:rsidRPr="00492CCC">
        <w:rPr>
          <w:rFonts w:cstheme="minorHAnsi"/>
          <w:color w:val="231F20"/>
        </w:rPr>
        <w:t>course offerings and evident in this quote</w:t>
      </w:r>
      <w:r w:rsidR="00D8335B" w:rsidRPr="00492CCC">
        <w:rPr>
          <w:rFonts w:cstheme="minorHAnsi"/>
          <w:color w:val="231F20"/>
        </w:rPr>
        <w:t xml:space="preserve"> from a student (self-identified as Latina/Black, female, </w:t>
      </w:r>
      <w:proofErr w:type="gramStart"/>
      <w:r w:rsidR="00D8335B" w:rsidRPr="00492CCC">
        <w:rPr>
          <w:rFonts w:cstheme="minorHAnsi"/>
          <w:color w:val="231F20"/>
        </w:rPr>
        <w:t>second-course</w:t>
      </w:r>
      <w:proofErr w:type="gramEnd"/>
      <w:r w:rsidR="00D8335B" w:rsidRPr="00492CCC">
        <w:rPr>
          <w:rFonts w:cstheme="minorHAnsi"/>
          <w:color w:val="231F20"/>
        </w:rPr>
        <w:t xml:space="preserve"> offering):</w:t>
      </w:r>
    </w:p>
    <w:p w14:paraId="2805D4DD" w14:textId="4D942775" w:rsidR="00454249" w:rsidRPr="00492CCC" w:rsidRDefault="00454249" w:rsidP="00D8335B">
      <w:pPr>
        <w:pStyle w:val="Quote"/>
      </w:pPr>
      <w:r w:rsidRPr="00492CCC">
        <w:lastRenderedPageBreak/>
        <w:t>I can admit I was ignorant to the fact of why I thought immigrants migrated over to the U</w:t>
      </w:r>
      <w:r w:rsidR="009C2AD5" w:rsidRPr="00492CCC">
        <w:t xml:space="preserve">nited </w:t>
      </w:r>
      <w:r w:rsidRPr="00492CCC">
        <w:t>S</w:t>
      </w:r>
      <w:r w:rsidR="009C2AD5" w:rsidRPr="00492CCC">
        <w:t>tates</w:t>
      </w:r>
      <w:r w:rsidRPr="00492CCC">
        <w:t xml:space="preserve">. My beliefs </w:t>
      </w:r>
      <w:proofErr w:type="gramStart"/>
      <w:r w:rsidRPr="00492CCC">
        <w:t>were</w:t>
      </w:r>
      <w:proofErr w:type="gramEnd"/>
      <w:r w:rsidRPr="00492CCC">
        <w:t xml:space="preserve"> immigrants just came over here to take our jobs and get all the money</w:t>
      </w:r>
      <w:r w:rsidR="009C2AD5" w:rsidRPr="00492CCC">
        <w:t>,</w:t>
      </w:r>
      <w:r w:rsidRPr="00492CCC">
        <w:t xml:space="preserve"> because I always heard from people they would work anywhere as long as they were getting paid but knowing what I know now it is so much bigger than that. Even when I had to participate and interview individuals for my community project</w:t>
      </w:r>
      <w:r w:rsidR="009C2AD5" w:rsidRPr="00492CCC">
        <w:t xml:space="preserve">, </w:t>
      </w:r>
      <w:r w:rsidRPr="00492CCC">
        <w:t xml:space="preserve">one of my </w:t>
      </w:r>
      <w:proofErr w:type="gramStart"/>
      <w:r w:rsidRPr="00492CCC">
        <w:t>interviewee</w:t>
      </w:r>
      <w:r w:rsidR="00D8335B" w:rsidRPr="00492CCC">
        <w:t>[</w:t>
      </w:r>
      <w:proofErr w:type="gramEnd"/>
      <w:r w:rsidR="00492CCC">
        <w:t>’</w:t>
      </w:r>
      <w:r w:rsidR="00D8335B" w:rsidRPr="00492CCC">
        <w:t>]</w:t>
      </w:r>
      <w:r w:rsidRPr="00492CCC">
        <w:t xml:space="preserve">s parents was an immigrant, and he was sharing the harsh treatment they suffered in their old country. I believe it should be programs and networks that help these people out and make it a little easier for them; they deserve rights just like the rest of the us born here or not. </w:t>
      </w:r>
    </w:p>
    <w:p w14:paraId="24D91603" w14:textId="5F70A048" w:rsidR="00D8335B" w:rsidRPr="00492CCC" w:rsidRDefault="00454249" w:rsidP="00CD16F9">
      <w:pPr>
        <w:pStyle w:val="BodyText"/>
        <w:rPr>
          <w:rFonts w:cstheme="minorHAnsi"/>
          <w:color w:val="231F20"/>
        </w:rPr>
      </w:pPr>
      <w:r w:rsidRPr="00492CCC">
        <w:rPr>
          <w:rFonts w:cstheme="minorHAnsi"/>
          <w:color w:val="231F20"/>
        </w:rPr>
        <w:t>Codes clustered under behavioral control and social justice behaviors varied across courses. These two themes captured students’ beliefs about their ability or capacity to address injustices (Ajzen, 2002) and their articulation of actual behaviors. Behavioral control captured three codes</w:t>
      </w:r>
      <w:r w:rsidR="00D8335B" w:rsidRPr="00492CCC">
        <w:rPr>
          <w:rFonts w:cstheme="minorHAnsi"/>
          <w:color w:val="231F20"/>
        </w:rPr>
        <w:t>,</w:t>
      </w:r>
      <w:r w:rsidRPr="00492CCC">
        <w:rPr>
          <w:rFonts w:cstheme="minorHAnsi"/>
          <w:color w:val="231F20"/>
        </w:rPr>
        <w:t xml:space="preserve"> and social justice behaviors represented five codes in the data. Student responses under Behavioral Control indicated </w:t>
      </w:r>
      <w:r w:rsidR="009C2AD5" w:rsidRPr="00492CCC">
        <w:rPr>
          <w:rFonts w:cstheme="minorHAnsi"/>
          <w:color w:val="231F20"/>
        </w:rPr>
        <w:t xml:space="preserve">that </w:t>
      </w:r>
      <w:r w:rsidRPr="00492CCC">
        <w:rPr>
          <w:rFonts w:cstheme="minorHAnsi"/>
          <w:color w:val="231F20"/>
        </w:rPr>
        <w:t>the course helped them identify where inequalities exist and possible ways to address them. One respondent who self-identified as a 20-year-old African American male (third</w:t>
      </w:r>
      <w:r w:rsidR="00D8335B" w:rsidRPr="00492CCC">
        <w:rPr>
          <w:rFonts w:cstheme="minorHAnsi"/>
          <w:color w:val="231F20"/>
        </w:rPr>
        <w:t xml:space="preserve"> </w:t>
      </w:r>
      <w:r w:rsidRPr="00492CCC">
        <w:rPr>
          <w:rFonts w:cstheme="minorHAnsi"/>
        </w:rPr>
        <w:t>course offering) wrote</w:t>
      </w:r>
      <w:r w:rsidR="00CD16F9" w:rsidRPr="00492CCC">
        <w:rPr>
          <w:rFonts w:cstheme="minorHAnsi"/>
        </w:rPr>
        <w:t xml:space="preserve"> the following:</w:t>
      </w:r>
    </w:p>
    <w:p w14:paraId="0D5A142A" w14:textId="344C3BC1" w:rsidR="00454249" w:rsidRPr="00492CCC" w:rsidRDefault="00454249" w:rsidP="00D8335B">
      <w:pPr>
        <w:pStyle w:val="Quote"/>
      </w:pPr>
      <w:r w:rsidRPr="00492CCC">
        <w:t xml:space="preserve">I am aware of social justice and the resources we have around our community. Change in the community and the powers, privileges, and oppressions that people face bring together a community! I am aware that </w:t>
      </w:r>
      <w:r w:rsidR="00D8335B" w:rsidRPr="00492CCC">
        <w:t>“</w:t>
      </w:r>
      <w:r w:rsidRPr="00492CCC">
        <w:t>I am a change agent</w:t>
      </w:r>
      <w:r w:rsidR="00D8335B" w:rsidRPr="00492CCC">
        <w:t>.”</w:t>
      </w:r>
    </w:p>
    <w:p w14:paraId="2A2A2484" w14:textId="6532EFCC" w:rsidR="00454249" w:rsidRPr="00492CCC" w:rsidRDefault="00454249" w:rsidP="00773B36">
      <w:pPr>
        <w:pStyle w:val="BodyText"/>
        <w:rPr>
          <w:rFonts w:cstheme="minorHAnsi"/>
        </w:rPr>
      </w:pPr>
      <w:r w:rsidRPr="00492CCC">
        <w:rPr>
          <w:rFonts w:cstheme="minorHAnsi"/>
          <w:color w:val="231F20"/>
        </w:rPr>
        <w:t>Student responses indicated how the course</w:t>
      </w:r>
      <w:r w:rsidR="00593933" w:rsidRPr="00492CCC">
        <w:rPr>
          <w:rFonts w:cstheme="minorHAnsi"/>
          <w:color w:val="231F20"/>
        </w:rPr>
        <w:t xml:space="preserve"> </w:t>
      </w:r>
      <w:r w:rsidRPr="00492CCC">
        <w:rPr>
          <w:rFonts w:cstheme="minorHAnsi"/>
          <w:color w:val="231F20"/>
        </w:rPr>
        <w:t xml:space="preserve">and community engagement experience increased not only their awareness of the local community but of their power to address local challenges. Social justice behaviors appeared less </w:t>
      </w:r>
      <w:proofErr w:type="gramStart"/>
      <w:r w:rsidRPr="00492CCC">
        <w:rPr>
          <w:rFonts w:cstheme="minorHAnsi"/>
          <w:color w:val="231F20"/>
        </w:rPr>
        <w:t>frequent</w:t>
      </w:r>
      <w:proofErr w:type="gramEnd"/>
      <w:r w:rsidRPr="00492CCC">
        <w:rPr>
          <w:rFonts w:cstheme="minorHAnsi"/>
          <w:color w:val="231F20"/>
        </w:rPr>
        <w:t xml:space="preserve"> in student responses in the first course and more frequent in the second and last course offering</w:t>
      </w:r>
      <w:r w:rsidR="00383184" w:rsidRPr="00492CCC">
        <w:rPr>
          <w:rFonts w:cstheme="minorHAnsi"/>
          <w:color w:val="231F20"/>
        </w:rPr>
        <w:t>s</w:t>
      </w:r>
      <w:r w:rsidRPr="00492CCC">
        <w:rPr>
          <w:rFonts w:cstheme="minorHAnsi"/>
          <w:color w:val="231F20"/>
        </w:rPr>
        <w:t xml:space="preserve">. Social </w:t>
      </w:r>
      <w:proofErr w:type="gramStart"/>
      <w:r w:rsidRPr="00492CCC">
        <w:rPr>
          <w:rFonts w:cstheme="minorHAnsi"/>
          <w:color w:val="231F20"/>
        </w:rPr>
        <w:t>justice behaviors</w:t>
      </w:r>
      <w:proofErr w:type="gramEnd"/>
      <w:r w:rsidRPr="00492CCC">
        <w:rPr>
          <w:rFonts w:cstheme="minorHAnsi"/>
          <w:color w:val="231F20"/>
        </w:rPr>
        <w:t xml:space="preserve"> included responses where students mentioned involvement in building communities or some form of </w:t>
      </w:r>
      <w:r w:rsidRPr="00492CCC">
        <w:rPr>
          <w:rFonts w:cstheme="minorHAnsi"/>
          <w:color w:val="231F20"/>
        </w:rPr>
        <w:lastRenderedPageBreak/>
        <w:t>advocacy. In this quote, the student</w:t>
      </w:r>
      <w:r w:rsidR="00D8335B" w:rsidRPr="00492CCC">
        <w:rPr>
          <w:rFonts w:cstheme="minorHAnsi"/>
          <w:color w:val="231F20"/>
        </w:rPr>
        <w:t xml:space="preserve"> (self-identified as African American, female, third course offering) spoke</w:t>
      </w:r>
      <w:r w:rsidRPr="00492CCC">
        <w:rPr>
          <w:rFonts w:cstheme="minorHAnsi"/>
          <w:color w:val="231F20"/>
        </w:rPr>
        <w:t xml:space="preserve"> to this directly:</w:t>
      </w:r>
    </w:p>
    <w:p w14:paraId="52B12549" w14:textId="00096A96" w:rsidR="00454249" w:rsidRPr="00492CCC" w:rsidRDefault="00454249" w:rsidP="00D8335B">
      <w:pPr>
        <w:pStyle w:val="Quote"/>
      </w:pPr>
      <w:r w:rsidRPr="00492CCC">
        <w:t xml:space="preserve">Overall, I feel that my research [experience] . . . was fulfilling. I learned a lot about intervention and success. I am more prepared to create programs and events that can target girls of different generations and demographics. Even though one thing was unsuccessful, I know that through failure, there is absolute learning if you can correct mistakes. My personal goals have been confirmed through the experience. Young girls everywhere are struggling with the same issues and need consistent guidance and uplifting. </w:t>
      </w:r>
    </w:p>
    <w:p w14:paraId="56ACCBC3" w14:textId="77777777" w:rsidR="00454249" w:rsidRPr="00492CCC" w:rsidRDefault="00454249" w:rsidP="00773B36">
      <w:pPr>
        <w:pStyle w:val="Heading1"/>
      </w:pPr>
      <w:r w:rsidRPr="00492CCC">
        <w:t>Discussion</w:t>
      </w:r>
    </w:p>
    <w:p w14:paraId="41EB08DD" w14:textId="382DC0BB" w:rsidR="00454249" w:rsidRPr="00492CCC" w:rsidRDefault="00454249" w:rsidP="00CD16F9">
      <w:pPr>
        <w:pStyle w:val="BodyText"/>
        <w:rPr>
          <w:rFonts w:cstheme="minorHAnsi"/>
          <w:color w:val="231F20"/>
        </w:rPr>
      </w:pPr>
      <w:r w:rsidRPr="00492CCC">
        <w:rPr>
          <w:rFonts w:cstheme="minorHAnsi"/>
          <w:color w:val="231F20"/>
        </w:rPr>
        <w:t>Th</w:t>
      </w:r>
      <w:r w:rsidR="009C2AD5" w:rsidRPr="00492CCC">
        <w:rPr>
          <w:rFonts w:cstheme="minorHAnsi"/>
          <w:color w:val="231F20"/>
        </w:rPr>
        <w:t xml:space="preserve">is </w:t>
      </w:r>
      <w:r w:rsidRPr="00492CCC">
        <w:rPr>
          <w:rFonts w:cstheme="minorHAnsi"/>
          <w:color w:val="231F20"/>
        </w:rPr>
        <w:t xml:space="preserve">study aimed to investigate the degree to which racially diverse students who enroll in an undergraduate community psychology course possess a value orientation toward social justice and the course influence on such an orientation. The results from the descriptive analysis indicated that </w:t>
      </w:r>
      <w:r w:rsidR="009C2AD5" w:rsidRPr="00492CCC">
        <w:rPr>
          <w:rFonts w:cstheme="minorHAnsi"/>
          <w:color w:val="231F20"/>
        </w:rPr>
        <w:t>most</w:t>
      </w:r>
      <w:r w:rsidRPr="00492CCC">
        <w:rPr>
          <w:rFonts w:cstheme="minorHAnsi"/>
          <w:color w:val="231F20"/>
        </w:rPr>
        <w:t xml:space="preserve"> students’ scores at the beginning of the course hovered in the high end</w:t>
      </w:r>
      <w:r w:rsidR="00D8335B" w:rsidRPr="00492CCC">
        <w:rPr>
          <w:rFonts w:cstheme="minorHAnsi"/>
          <w:color w:val="231F20"/>
        </w:rPr>
        <w:t>,</w:t>
      </w:r>
      <w:r w:rsidRPr="00492CCC">
        <w:rPr>
          <w:rFonts w:cstheme="minorHAnsi"/>
          <w:color w:val="231F20"/>
        </w:rPr>
        <w:t xml:space="preserve"> </w:t>
      </w:r>
      <w:r w:rsidR="00CD16F9" w:rsidRPr="00492CCC">
        <w:rPr>
          <w:rFonts w:cstheme="minorHAnsi"/>
          <w:color w:val="231F20"/>
        </w:rPr>
        <w:t>with</w:t>
      </w:r>
      <w:r w:rsidRPr="00492CCC">
        <w:rPr>
          <w:rFonts w:cstheme="minorHAnsi"/>
          <w:color w:val="231F20"/>
        </w:rPr>
        <w:t xml:space="preserve"> the lowest score </w:t>
      </w:r>
      <w:r w:rsidR="00CD16F9" w:rsidRPr="00492CCC">
        <w:rPr>
          <w:rFonts w:cstheme="minorHAnsi"/>
          <w:color w:val="231F20"/>
        </w:rPr>
        <w:t>being</w:t>
      </w:r>
      <w:r w:rsidRPr="00492CCC">
        <w:rPr>
          <w:rFonts w:cstheme="minorHAnsi"/>
          <w:color w:val="231F20"/>
        </w:rPr>
        <w:t xml:space="preserve"> 130. </w:t>
      </w:r>
      <w:proofErr w:type="gramStart"/>
      <w:r w:rsidRPr="00492CCC">
        <w:rPr>
          <w:rFonts w:cstheme="minorHAnsi"/>
          <w:color w:val="231F20"/>
        </w:rPr>
        <w:t>A majority of</w:t>
      </w:r>
      <w:proofErr w:type="gramEnd"/>
      <w:r w:rsidRPr="00492CCC">
        <w:rPr>
          <w:rFonts w:cstheme="minorHAnsi"/>
          <w:color w:val="231F20"/>
        </w:rPr>
        <w:t xml:space="preserve"> students in the undergraduate course self-identified as African American; thus, findings were consistent with previous literature. Research conducted by Thomas et al. (2012), for example, found that one’s social identity can have a significant effect on </w:t>
      </w:r>
      <w:r w:rsidR="00D8335B" w:rsidRPr="00492CCC">
        <w:rPr>
          <w:rFonts w:cstheme="minorHAnsi"/>
          <w:color w:val="231F20"/>
        </w:rPr>
        <w:t>one’s</w:t>
      </w:r>
      <w:r w:rsidRPr="00492CCC">
        <w:rPr>
          <w:rFonts w:cstheme="minorHAnsi"/>
          <w:color w:val="231F20"/>
        </w:rPr>
        <w:t xml:space="preserve"> desire to pursue justice. The authors indicate</w:t>
      </w:r>
      <w:r w:rsidR="00D8335B" w:rsidRPr="00492CCC">
        <w:rPr>
          <w:rFonts w:cstheme="minorHAnsi"/>
          <w:color w:val="231F20"/>
        </w:rPr>
        <w:t>d</w:t>
      </w:r>
      <w:r w:rsidRPr="00492CCC">
        <w:rPr>
          <w:rFonts w:cstheme="minorHAnsi"/>
          <w:color w:val="231F20"/>
        </w:rPr>
        <w:t xml:space="preserve"> that individuals who ascribe to identities that align with more marginalized or disadvantaged groups are more likely to seek others who share similar experiences and advocate against disadvantages. Other studies examining students majoring in broad science, technology, engineering, and mathematics courses found those who self-identified as a member of a racially marginalized group were more likely to possess a higher orientation toward social justice when compared </w:t>
      </w:r>
      <w:r w:rsidR="00D8335B" w:rsidRPr="00492CCC">
        <w:rPr>
          <w:rFonts w:cstheme="minorHAnsi"/>
          <w:color w:val="231F20"/>
        </w:rPr>
        <w:t>with</w:t>
      </w:r>
      <w:r w:rsidRPr="00492CCC">
        <w:rPr>
          <w:rFonts w:cstheme="minorHAnsi"/>
          <w:color w:val="231F20"/>
        </w:rPr>
        <w:t xml:space="preserve"> other students (</w:t>
      </w:r>
      <w:r w:rsidR="0052783B" w:rsidRPr="00492CCC">
        <w:rPr>
          <w:rFonts w:cstheme="minorHAnsi"/>
          <w:color w:val="231F20"/>
        </w:rPr>
        <w:t xml:space="preserve">Garibay, 2015; </w:t>
      </w:r>
      <w:r w:rsidRPr="00492CCC">
        <w:rPr>
          <w:rFonts w:cstheme="minorHAnsi"/>
          <w:color w:val="231F20"/>
        </w:rPr>
        <w:t xml:space="preserve">Gibbs &amp; Griffin, 2013). Another study examining undergraduate students’ social justice attitudes and beliefs </w:t>
      </w:r>
      <w:r w:rsidRPr="00492CCC">
        <w:rPr>
          <w:rFonts w:cstheme="minorHAnsi"/>
          <w:color w:val="231F20"/>
        </w:rPr>
        <w:lastRenderedPageBreak/>
        <w:t>found that African American</w:t>
      </w:r>
      <w:r w:rsidR="00CD16F9" w:rsidRPr="00492CCC">
        <w:rPr>
          <w:rFonts w:cstheme="minorHAnsi"/>
          <w:color w:val="231F20"/>
        </w:rPr>
        <w:t xml:space="preserve"> students</w:t>
      </w:r>
      <w:r w:rsidRPr="00492CCC">
        <w:rPr>
          <w:rFonts w:cstheme="minorHAnsi"/>
          <w:color w:val="231F20"/>
        </w:rPr>
        <w:t xml:space="preserve"> were more likely to express creating equality and combatting injustice as relevant to their interests</w:t>
      </w:r>
      <w:r w:rsidR="00CD16F9" w:rsidRPr="00492CCC">
        <w:rPr>
          <w:rFonts w:cstheme="minorHAnsi"/>
          <w:color w:val="231F20"/>
        </w:rPr>
        <w:t xml:space="preserve"> (Torres-Harding et al., 2014)</w:t>
      </w:r>
      <w:r w:rsidRPr="00492CCC">
        <w:rPr>
          <w:rFonts w:cstheme="minorHAnsi"/>
          <w:color w:val="231F20"/>
        </w:rPr>
        <w:t>.</w:t>
      </w:r>
    </w:p>
    <w:p w14:paraId="0C3F7AB7" w14:textId="73FF33C9" w:rsidR="00454249" w:rsidRPr="00492CCC" w:rsidRDefault="00454249" w:rsidP="00773B36">
      <w:pPr>
        <w:pStyle w:val="BodyText"/>
        <w:rPr>
          <w:rFonts w:cstheme="minorHAnsi"/>
        </w:rPr>
      </w:pPr>
      <w:r w:rsidRPr="00492CCC">
        <w:rPr>
          <w:rFonts w:cstheme="minorHAnsi"/>
          <w:color w:val="231F20"/>
        </w:rPr>
        <w:t xml:space="preserve">Assessing incoming scores </w:t>
      </w:r>
      <w:proofErr w:type="gramStart"/>
      <w:r w:rsidRPr="00492CCC">
        <w:rPr>
          <w:rFonts w:cstheme="minorHAnsi"/>
          <w:color w:val="231F20"/>
        </w:rPr>
        <w:t>suggest</w:t>
      </w:r>
      <w:proofErr w:type="gramEnd"/>
      <w:r w:rsidR="00593933" w:rsidRPr="00492CCC">
        <w:rPr>
          <w:rFonts w:cstheme="minorHAnsi"/>
          <w:color w:val="231F20"/>
        </w:rPr>
        <w:t xml:space="preserve"> </w:t>
      </w:r>
      <w:r w:rsidRPr="00492CCC">
        <w:rPr>
          <w:rFonts w:cstheme="minorHAnsi"/>
          <w:color w:val="231F20"/>
        </w:rPr>
        <w:t>some alignment between students’ value orientation and description of the course. For example, course objectives included increasing student knowledge o</w:t>
      </w:r>
      <w:r w:rsidR="009C2AD5" w:rsidRPr="00492CCC">
        <w:rPr>
          <w:rFonts w:cstheme="minorHAnsi"/>
          <w:color w:val="231F20"/>
        </w:rPr>
        <w:t>f</w:t>
      </w:r>
      <w:r w:rsidRPr="00492CCC">
        <w:rPr>
          <w:rFonts w:cstheme="minorHAnsi"/>
          <w:color w:val="231F20"/>
        </w:rPr>
        <w:t xml:space="preserve"> systems that promote social inequality and ways to address system</w:t>
      </w:r>
      <w:r w:rsidR="00D8335B" w:rsidRPr="00492CCC">
        <w:rPr>
          <w:rFonts w:cstheme="minorHAnsi"/>
          <w:color w:val="231F20"/>
        </w:rPr>
        <w:t>ic</w:t>
      </w:r>
      <w:r w:rsidRPr="00492CCC">
        <w:rPr>
          <w:rFonts w:cstheme="minorHAnsi"/>
          <w:color w:val="231F20"/>
        </w:rPr>
        <w:t xml:space="preserve"> change. Those students who already possessed a value orientation toward social justice more than likely reviewed the description of the course, were possibly attracted</w:t>
      </w:r>
      <w:r w:rsidR="00287F11" w:rsidRPr="00492CCC">
        <w:rPr>
          <w:rFonts w:cstheme="minorHAnsi"/>
          <w:color w:val="231F20"/>
        </w:rPr>
        <w:t xml:space="preserve"> to it</w:t>
      </w:r>
      <w:r w:rsidRPr="00492CCC">
        <w:rPr>
          <w:rFonts w:cstheme="minorHAnsi"/>
          <w:color w:val="231F20"/>
        </w:rPr>
        <w:t xml:space="preserve">, and decided to enroll. Previous studies have found a link between students’ orientation toward social justice and their selection of a college major and career interests (Caldwell &amp; Vera, 2010; Gibbs &amp; Griffin, 2013; McCabe &amp; Rubinson, 2008). Although the results do not focus on the selection of major or career, they reveal underlying factors that could contribute to the kinds of learning experiences students may seek for themselves. Assessing students’ incoming value orientation toward social justice may contribute to understanding the kinds of learning experiences </w:t>
      </w:r>
      <w:r w:rsidR="00324759" w:rsidRPr="00492CCC">
        <w:rPr>
          <w:rFonts w:cstheme="minorHAnsi"/>
          <w:color w:val="231F20"/>
        </w:rPr>
        <w:t xml:space="preserve">that </w:t>
      </w:r>
      <w:r w:rsidRPr="00492CCC">
        <w:rPr>
          <w:rFonts w:cstheme="minorHAnsi"/>
          <w:color w:val="231F20"/>
        </w:rPr>
        <w:t xml:space="preserve">students value and future behavioral intentions in course selection and enrollment (Bringle &amp; Steinberg, 2010; </w:t>
      </w:r>
      <w:proofErr w:type="spellStart"/>
      <w:r w:rsidRPr="00492CCC">
        <w:rPr>
          <w:rFonts w:cstheme="minorHAnsi"/>
          <w:color w:val="231F20"/>
        </w:rPr>
        <w:t>Einfeld</w:t>
      </w:r>
      <w:proofErr w:type="spellEnd"/>
      <w:r w:rsidRPr="00492CCC">
        <w:rPr>
          <w:rFonts w:cstheme="minorHAnsi"/>
          <w:color w:val="231F20"/>
        </w:rPr>
        <w:t xml:space="preserve"> &amp; Collins, 2008).</w:t>
      </w:r>
    </w:p>
    <w:p w14:paraId="383283A8" w14:textId="50C1B9BE" w:rsidR="00A6074E" w:rsidRPr="00492CCC" w:rsidRDefault="00A6074E" w:rsidP="00773B36">
      <w:pPr>
        <w:pStyle w:val="BodyText"/>
        <w:rPr>
          <w:rFonts w:cstheme="minorHAnsi"/>
        </w:rPr>
      </w:pPr>
      <w:r w:rsidRPr="00492CCC">
        <w:rPr>
          <w:rFonts w:cstheme="minorHAnsi"/>
          <w:color w:val="231F20"/>
        </w:rPr>
        <w:t>Overall, incoming scores on the SJS led to a ceiling effect that may limit conclusions on the courses’ impact on student learning. Results from the nonparametric analysis further validate the small effects the course had on changing students’ value orientation toward social justice. Nonetheless, the results do suggest the subtle increase in students’ social value orientation toward social justice may be more dependent on how students perceive others</w:t>
      </w:r>
      <w:r w:rsidR="00E64911" w:rsidRPr="00492CCC">
        <w:rPr>
          <w:rFonts w:cstheme="minorHAnsi"/>
          <w:color w:val="231F20"/>
        </w:rPr>
        <w:t>’</w:t>
      </w:r>
      <w:r w:rsidRPr="00492CCC">
        <w:rPr>
          <w:rFonts w:cstheme="minorHAnsi"/>
          <w:color w:val="231F20"/>
        </w:rPr>
        <w:t xml:space="preserve"> involvement in such behaviors rather than the course content itself. Students enrolled in courses with an emphasis on groups rather than individuals completing the community engagement project had higher scores on the SJS at the end of the course. This finding suggests there may be value in engaging in community settings and conducting research as a group versus as an individual. Hunn </w:t>
      </w:r>
      <w:r w:rsidRPr="00492CCC">
        <w:rPr>
          <w:rFonts w:cstheme="minorHAnsi"/>
          <w:color w:val="231F20"/>
        </w:rPr>
        <w:lastRenderedPageBreak/>
        <w:t>(2014) suggest</w:t>
      </w:r>
      <w:r w:rsidR="00E64911" w:rsidRPr="00492CCC">
        <w:rPr>
          <w:rFonts w:cstheme="minorHAnsi"/>
          <w:color w:val="231F20"/>
        </w:rPr>
        <w:t>ed</w:t>
      </w:r>
      <w:r w:rsidRPr="00492CCC">
        <w:rPr>
          <w:rFonts w:cstheme="minorHAnsi"/>
          <w:color w:val="231F20"/>
        </w:rPr>
        <w:t xml:space="preserve"> that group learning can strengthen trust, create a sense of common interest, and </w:t>
      </w:r>
      <w:r w:rsidR="00CD16F9" w:rsidRPr="00492CCC">
        <w:rPr>
          <w:rFonts w:cstheme="minorHAnsi"/>
          <w:color w:val="231F20"/>
        </w:rPr>
        <w:t>foster</w:t>
      </w:r>
      <w:r w:rsidR="00E64911" w:rsidRPr="00492CCC">
        <w:rPr>
          <w:rFonts w:cstheme="minorHAnsi"/>
          <w:color w:val="231F20"/>
        </w:rPr>
        <w:t xml:space="preserve"> </w:t>
      </w:r>
      <w:r w:rsidRPr="00492CCC">
        <w:rPr>
          <w:rFonts w:cstheme="minorHAnsi"/>
          <w:color w:val="231F20"/>
        </w:rPr>
        <w:t xml:space="preserve">an overall sense of belonging for African American students. Thomas </w:t>
      </w:r>
      <w:r w:rsidR="00287F11" w:rsidRPr="00492CCC">
        <w:rPr>
          <w:rFonts w:cstheme="minorHAnsi"/>
          <w:color w:val="231F20"/>
        </w:rPr>
        <w:t>et al.</w:t>
      </w:r>
      <w:r w:rsidRPr="00492CCC">
        <w:rPr>
          <w:rFonts w:cstheme="minorHAnsi"/>
          <w:color w:val="231F20"/>
        </w:rPr>
        <w:t xml:space="preserve"> (2012)</w:t>
      </w:r>
      <w:r w:rsidR="00CD16F9" w:rsidRPr="00492CCC">
        <w:rPr>
          <w:rFonts w:cstheme="minorHAnsi"/>
          <w:color w:val="231F20"/>
        </w:rPr>
        <w:t xml:space="preserve"> also</w:t>
      </w:r>
      <w:r w:rsidRPr="00492CCC">
        <w:rPr>
          <w:rFonts w:cstheme="minorHAnsi"/>
          <w:color w:val="231F20"/>
        </w:rPr>
        <w:t xml:space="preserve"> found that perceiv</w:t>
      </w:r>
      <w:r w:rsidR="00CD16F9" w:rsidRPr="00492CCC">
        <w:rPr>
          <w:rFonts w:cstheme="minorHAnsi"/>
          <w:color w:val="231F20"/>
        </w:rPr>
        <w:t>ing</w:t>
      </w:r>
      <w:r w:rsidRPr="00492CCC">
        <w:rPr>
          <w:rFonts w:cstheme="minorHAnsi"/>
          <w:color w:val="231F20"/>
        </w:rPr>
        <w:t xml:space="preserve"> others as having similar interest</w:t>
      </w:r>
      <w:r w:rsidR="00287F11" w:rsidRPr="00492CCC">
        <w:rPr>
          <w:rFonts w:cstheme="minorHAnsi"/>
          <w:color w:val="231F20"/>
        </w:rPr>
        <w:t>s</w:t>
      </w:r>
      <w:r w:rsidRPr="00492CCC">
        <w:rPr>
          <w:rFonts w:cstheme="minorHAnsi"/>
          <w:color w:val="231F20"/>
        </w:rPr>
        <w:t xml:space="preserve"> and identities</w:t>
      </w:r>
      <w:r w:rsidR="00CD16F9" w:rsidRPr="00492CCC">
        <w:rPr>
          <w:rFonts w:cstheme="minorHAnsi"/>
          <w:color w:val="231F20"/>
        </w:rPr>
        <w:t xml:space="preserve"> can</w:t>
      </w:r>
      <w:r w:rsidRPr="00492CCC">
        <w:rPr>
          <w:rFonts w:cstheme="minorHAnsi"/>
          <w:color w:val="231F20"/>
        </w:rPr>
        <w:t xml:space="preserve"> increase </w:t>
      </w:r>
      <w:r w:rsidR="00CD16F9" w:rsidRPr="00492CCC">
        <w:rPr>
          <w:rFonts w:cstheme="minorHAnsi"/>
          <w:color w:val="231F20"/>
        </w:rPr>
        <w:t>an individual’s</w:t>
      </w:r>
      <w:r w:rsidRPr="00492CCC">
        <w:rPr>
          <w:rFonts w:cstheme="minorHAnsi"/>
          <w:color w:val="231F20"/>
        </w:rPr>
        <w:t xml:space="preserve"> engagement in collective and civic action. Increasing opportunities for group engagement where students c</w:t>
      </w:r>
      <w:r w:rsidR="00287F11" w:rsidRPr="00492CCC">
        <w:rPr>
          <w:rFonts w:cstheme="minorHAnsi"/>
          <w:color w:val="231F20"/>
        </w:rPr>
        <w:t>an c</w:t>
      </w:r>
      <w:r w:rsidRPr="00492CCC">
        <w:rPr>
          <w:rFonts w:cstheme="minorHAnsi"/>
          <w:color w:val="231F20"/>
        </w:rPr>
        <w:t>ollaborate, discuss common issues, and observe others in modeling social justice behavior may be an essential driver in shifting student perceptions.</w:t>
      </w:r>
    </w:p>
    <w:p w14:paraId="1F3C145A" w14:textId="77777777" w:rsidR="00CD16F9" w:rsidRPr="00492CCC" w:rsidRDefault="00A6074E" w:rsidP="00287F11">
      <w:pPr>
        <w:pStyle w:val="BodyText"/>
        <w:rPr>
          <w:rFonts w:cstheme="minorHAnsi"/>
          <w:color w:val="231F20"/>
        </w:rPr>
      </w:pPr>
      <w:r w:rsidRPr="00492CCC">
        <w:rPr>
          <w:rFonts w:cstheme="minorHAnsi"/>
          <w:color w:val="231F20"/>
        </w:rPr>
        <w:t>Comparing differences across the courses</w:t>
      </w:r>
      <w:r w:rsidR="00593933" w:rsidRPr="00492CCC">
        <w:rPr>
          <w:rFonts w:cstheme="minorHAnsi"/>
          <w:color w:val="231F20"/>
        </w:rPr>
        <w:t xml:space="preserve"> </w:t>
      </w:r>
      <w:r w:rsidRPr="00492CCC">
        <w:rPr>
          <w:rFonts w:cstheme="minorHAnsi"/>
          <w:color w:val="231F20"/>
        </w:rPr>
        <w:t xml:space="preserve">also revealed </w:t>
      </w:r>
      <w:r w:rsidR="00CD16F9" w:rsidRPr="00492CCC">
        <w:rPr>
          <w:rFonts w:cstheme="minorHAnsi"/>
          <w:color w:val="231F20"/>
        </w:rPr>
        <w:t xml:space="preserve">that </w:t>
      </w:r>
      <w:r w:rsidRPr="00492CCC">
        <w:rPr>
          <w:rFonts w:cstheme="minorHAnsi"/>
          <w:color w:val="231F20"/>
        </w:rPr>
        <w:t>students in the second</w:t>
      </w:r>
      <w:r w:rsidR="00E64911" w:rsidRPr="00492CCC">
        <w:rPr>
          <w:rFonts w:cstheme="minorHAnsi"/>
          <w:color w:val="231F20"/>
        </w:rPr>
        <w:t xml:space="preserve"> </w:t>
      </w:r>
      <w:r w:rsidRPr="00492CCC">
        <w:rPr>
          <w:rFonts w:cstheme="minorHAnsi"/>
          <w:color w:val="231F20"/>
        </w:rPr>
        <w:t xml:space="preserve">course offering demonstrated a significant increase in their scores on the SJS compared </w:t>
      </w:r>
      <w:r w:rsidR="00E64911" w:rsidRPr="00492CCC">
        <w:rPr>
          <w:rFonts w:cstheme="minorHAnsi"/>
          <w:color w:val="231F20"/>
        </w:rPr>
        <w:t>with</w:t>
      </w:r>
      <w:r w:rsidRPr="00492CCC">
        <w:rPr>
          <w:rFonts w:cstheme="minorHAnsi"/>
          <w:color w:val="231F20"/>
        </w:rPr>
        <w:t xml:space="preserve"> students in the first and last course offering</w:t>
      </w:r>
      <w:r w:rsidR="00287F11" w:rsidRPr="00492CCC">
        <w:rPr>
          <w:rFonts w:cstheme="minorHAnsi"/>
          <w:color w:val="231F20"/>
        </w:rPr>
        <w:t>s</w:t>
      </w:r>
      <w:r w:rsidRPr="00492CCC">
        <w:rPr>
          <w:rFonts w:cstheme="minorHAnsi"/>
          <w:color w:val="231F20"/>
        </w:rPr>
        <w:t xml:space="preserve">. Again, this course required students to work in small groups to share challenges and complete the community engagement assignment rather than working as a class or as an individual. </w:t>
      </w:r>
      <w:r w:rsidR="00E64911" w:rsidRPr="00492CCC">
        <w:rPr>
          <w:rFonts w:cstheme="minorHAnsi"/>
          <w:color w:val="231F20"/>
        </w:rPr>
        <w:t>T</w:t>
      </w:r>
      <w:r w:rsidRPr="00492CCC">
        <w:rPr>
          <w:rFonts w:cstheme="minorHAnsi"/>
          <w:color w:val="231F20"/>
        </w:rPr>
        <w:t xml:space="preserve">his finding </w:t>
      </w:r>
      <w:r w:rsidR="00E64911" w:rsidRPr="00492CCC">
        <w:rPr>
          <w:rFonts w:cstheme="minorHAnsi"/>
          <w:color w:val="231F20"/>
        </w:rPr>
        <w:t>suggests</w:t>
      </w:r>
      <w:r w:rsidRPr="00492CCC">
        <w:rPr>
          <w:rFonts w:cstheme="minorHAnsi"/>
          <w:color w:val="231F20"/>
        </w:rPr>
        <w:t xml:space="preserve"> that working on a project and sharing challenges as a group while maintaining some degree of autonomy from the broader class may </w:t>
      </w:r>
      <w:r w:rsidR="00287F11" w:rsidRPr="00492CCC">
        <w:rPr>
          <w:rFonts w:cstheme="minorHAnsi"/>
          <w:color w:val="231F20"/>
        </w:rPr>
        <w:t>have been</w:t>
      </w:r>
      <w:r w:rsidRPr="00492CCC">
        <w:rPr>
          <w:rFonts w:cstheme="minorHAnsi"/>
          <w:color w:val="231F20"/>
        </w:rPr>
        <w:t xml:space="preserve"> particularly valuable in shaping value orientation</w:t>
      </w:r>
      <w:r w:rsidR="00287F11" w:rsidRPr="00492CCC">
        <w:rPr>
          <w:rFonts w:cstheme="minorHAnsi"/>
          <w:color w:val="231F20"/>
        </w:rPr>
        <w:t>s</w:t>
      </w:r>
      <w:r w:rsidRPr="00492CCC">
        <w:rPr>
          <w:rFonts w:cstheme="minorHAnsi"/>
          <w:color w:val="231F20"/>
        </w:rPr>
        <w:t xml:space="preserve"> toward social justice in this sample of racially diverse students. </w:t>
      </w:r>
    </w:p>
    <w:p w14:paraId="015BCD5D" w14:textId="27EB6672" w:rsidR="00287F11" w:rsidRPr="00492CCC" w:rsidRDefault="00A6074E" w:rsidP="00287F11">
      <w:pPr>
        <w:pStyle w:val="BodyText"/>
        <w:rPr>
          <w:rFonts w:cstheme="minorHAnsi"/>
          <w:color w:val="231F20"/>
        </w:rPr>
      </w:pPr>
      <w:r w:rsidRPr="00492CCC">
        <w:rPr>
          <w:rFonts w:cstheme="minorHAnsi"/>
          <w:color w:val="231F20"/>
        </w:rPr>
        <w:t xml:space="preserve">This group effect on perceptions of social justice was further validated by examining students’ scores on the Subjective Norms subscale. Students’ scores on the Subjective Norms subscale fell within a normal distribution compared </w:t>
      </w:r>
      <w:r w:rsidR="00E64911" w:rsidRPr="00492CCC">
        <w:rPr>
          <w:rFonts w:cstheme="minorHAnsi"/>
          <w:color w:val="231F20"/>
        </w:rPr>
        <w:t>with</w:t>
      </w:r>
      <w:r w:rsidRPr="00492CCC">
        <w:rPr>
          <w:rFonts w:cstheme="minorHAnsi"/>
          <w:color w:val="231F20"/>
        </w:rPr>
        <w:t xml:space="preserve"> the composite SJS and other subscales. That is, students were more likely to have more varied levels of agreement on whether they had individuals around them engaging and participating in social justice work. By the end of the course, students’ scores on the </w:t>
      </w:r>
      <w:r w:rsidR="00CD16F9" w:rsidRPr="00492CCC">
        <w:rPr>
          <w:rFonts w:cstheme="minorHAnsi"/>
          <w:color w:val="231F20"/>
        </w:rPr>
        <w:t xml:space="preserve">Subjective Norms </w:t>
      </w:r>
      <w:r w:rsidRPr="00492CCC">
        <w:rPr>
          <w:rFonts w:cstheme="minorHAnsi"/>
          <w:color w:val="231F20"/>
        </w:rPr>
        <w:t xml:space="preserve">subscale hovered in the high range. According to </w:t>
      </w:r>
      <w:r w:rsidR="00A07D13" w:rsidRPr="00492CCC">
        <w:rPr>
          <w:rFonts w:cstheme="minorHAnsi"/>
          <w:color w:val="231F20"/>
        </w:rPr>
        <w:t>v</w:t>
      </w:r>
      <w:r w:rsidRPr="00492CCC">
        <w:rPr>
          <w:rFonts w:cstheme="minorHAnsi"/>
          <w:color w:val="231F20"/>
        </w:rPr>
        <w:t xml:space="preserve">an </w:t>
      </w:r>
      <w:proofErr w:type="spellStart"/>
      <w:r w:rsidRPr="00492CCC">
        <w:rPr>
          <w:rFonts w:cstheme="minorHAnsi"/>
          <w:color w:val="231F20"/>
        </w:rPr>
        <w:t>Zomeren</w:t>
      </w:r>
      <w:proofErr w:type="spellEnd"/>
      <w:r w:rsidRPr="00492CCC">
        <w:rPr>
          <w:rFonts w:cstheme="minorHAnsi"/>
          <w:color w:val="231F20"/>
        </w:rPr>
        <w:t xml:space="preserve"> et al. (2008), individuals who perceive a high level of civic engagement in others around them are likely to adopt similar behaviors and beliefs.</w:t>
      </w:r>
      <w:r w:rsidR="00287F11" w:rsidRPr="00492CCC">
        <w:rPr>
          <w:rFonts w:cstheme="minorHAnsi"/>
          <w:color w:val="231F20"/>
        </w:rPr>
        <w:t xml:space="preserve"> The results</w:t>
      </w:r>
      <w:r w:rsidRPr="00492CCC">
        <w:rPr>
          <w:rFonts w:cstheme="minorHAnsi"/>
          <w:color w:val="231F20"/>
        </w:rPr>
        <w:t xml:space="preserve"> reveal some subtle effects </w:t>
      </w:r>
      <w:proofErr w:type="gramStart"/>
      <w:r w:rsidRPr="00492CCC">
        <w:rPr>
          <w:rFonts w:cstheme="minorHAnsi"/>
          <w:color w:val="231F20"/>
        </w:rPr>
        <w:t>in</w:t>
      </w:r>
      <w:proofErr w:type="gramEnd"/>
      <w:r w:rsidRPr="00492CCC">
        <w:rPr>
          <w:rFonts w:cstheme="minorHAnsi"/>
          <w:color w:val="231F20"/>
        </w:rPr>
        <w:t xml:space="preserve"> students’ value orientation toward social justice. More importantly, </w:t>
      </w:r>
      <w:r w:rsidR="00287F11" w:rsidRPr="00492CCC">
        <w:rPr>
          <w:rFonts w:cstheme="minorHAnsi"/>
          <w:color w:val="231F20"/>
        </w:rPr>
        <w:t>the results</w:t>
      </w:r>
      <w:r w:rsidRPr="00492CCC">
        <w:rPr>
          <w:rFonts w:cstheme="minorHAnsi"/>
          <w:color w:val="231F20"/>
        </w:rPr>
        <w:t xml:space="preserve"> suggest t</w:t>
      </w:r>
      <w:r w:rsidR="00287F11" w:rsidRPr="00492CCC">
        <w:rPr>
          <w:rFonts w:cstheme="minorHAnsi"/>
          <w:color w:val="231F20"/>
        </w:rPr>
        <w:t>hat t</w:t>
      </w:r>
      <w:r w:rsidRPr="00492CCC">
        <w:rPr>
          <w:rFonts w:cstheme="minorHAnsi"/>
          <w:color w:val="231F20"/>
        </w:rPr>
        <w:t xml:space="preserve">he ability to work in groups influenced students’ subjective norms. </w:t>
      </w:r>
    </w:p>
    <w:p w14:paraId="30EB9C46" w14:textId="77777777" w:rsidR="00505B30" w:rsidRPr="00492CCC" w:rsidRDefault="00A6074E" w:rsidP="00287F11">
      <w:pPr>
        <w:pStyle w:val="BodyText"/>
        <w:rPr>
          <w:rFonts w:cstheme="minorHAnsi"/>
          <w:color w:val="231F20"/>
        </w:rPr>
      </w:pPr>
      <w:r w:rsidRPr="00492CCC">
        <w:rPr>
          <w:rFonts w:cstheme="minorHAnsi"/>
          <w:color w:val="231F20"/>
        </w:rPr>
        <w:lastRenderedPageBreak/>
        <w:t>The qualitative findings compl</w:t>
      </w:r>
      <w:r w:rsidR="00505B30" w:rsidRPr="00492CCC">
        <w:rPr>
          <w:rFonts w:cstheme="minorHAnsi"/>
          <w:color w:val="231F20"/>
        </w:rPr>
        <w:t>e</w:t>
      </w:r>
      <w:r w:rsidRPr="00492CCC">
        <w:rPr>
          <w:rFonts w:cstheme="minorHAnsi"/>
          <w:color w:val="231F20"/>
        </w:rPr>
        <w:t>ment</w:t>
      </w:r>
      <w:r w:rsidR="00287F11" w:rsidRPr="00492CCC">
        <w:rPr>
          <w:rFonts w:cstheme="minorHAnsi"/>
          <w:color w:val="231F20"/>
        </w:rPr>
        <w:t xml:space="preserve"> the</w:t>
      </w:r>
      <w:r w:rsidRPr="00492CCC">
        <w:rPr>
          <w:rFonts w:cstheme="minorHAnsi"/>
          <w:color w:val="231F20"/>
        </w:rPr>
        <w:t xml:space="preserve"> quantitative results by revealing </w:t>
      </w:r>
      <w:r w:rsidR="00505B30" w:rsidRPr="00492CCC">
        <w:rPr>
          <w:rFonts w:cstheme="minorHAnsi"/>
          <w:color w:val="231F20"/>
        </w:rPr>
        <w:t xml:space="preserve">that </w:t>
      </w:r>
      <w:proofErr w:type="gramStart"/>
      <w:r w:rsidRPr="00492CCC">
        <w:rPr>
          <w:rFonts w:cstheme="minorHAnsi"/>
          <w:color w:val="231F20"/>
        </w:rPr>
        <w:t>a majority of</w:t>
      </w:r>
      <w:proofErr w:type="gramEnd"/>
      <w:r w:rsidRPr="00492CCC">
        <w:rPr>
          <w:rFonts w:cstheme="minorHAnsi"/>
          <w:color w:val="231F20"/>
        </w:rPr>
        <w:t xml:space="preserve"> students perceived the course experience </w:t>
      </w:r>
      <w:r w:rsidR="00505B30" w:rsidRPr="00492CCC">
        <w:rPr>
          <w:rFonts w:cstheme="minorHAnsi"/>
          <w:color w:val="231F20"/>
        </w:rPr>
        <w:t>as</w:t>
      </w:r>
      <w:r w:rsidRPr="00492CCC">
        <w:rPr>
          <w:rFonts w:cstheme="minorHAnsi"/>
          <w:color w:val="231F20"/>
        </w:rPr>
        <w:t xml:space="preserve"> expand</w:t>
      </w:r>
      <w:r w:rsidR="00505B30" w:rsidRPr="00492CCC">
        <w:rPr>
          <w:rFonts w:cstheme="minorHAnsi"/>
          <w:color w:val="231F20"/>
        </w:rPr>
        <w:t xml:space="preserve">ing </w:t>
      </w:r>
      <w:r w:rsidRPr="00492CCC">
        <w:rPr>
          <w:rFonts w:cstheme="minorHAnsi"/>
          <w:color w:val="231F20"/>
        </w:rPr>
        <w:t xml:space="preserve">their awareness of local communities and issues of diversity. These findings corroborate the small effects evident in the quantitative results and previous literature highlighting the benefits of social justice education </w:t>
      </w:r>
      <w:r w:rsidR="00287F11" w:rsidRPr="00492CCC">
        <w:rPr>
          <w:rFonts w:cstheme="minorHAnsi"/>
          <w:color w:val="231F20"/>
        </w:rPr>
        <w:t>on</w:t>
      </w:r>
      <w:r w:rsidRPr="00492CCC">
        <w:rPr>
          <w:rFonts w:cstheme="minorHAnsi"/>
          <w:color w:val="231F20"/>
        </w:rPr>
        <w:t xml:space="preserve"> undergraduate students. For example, a previous study conducted by Cattaneo </w:t>
      </w:r>
      <w:r w:rsidR="00E64911" w:rsidRPr="00492CCC">
        <w:rPr>
          <w:rFonts w:cstheme="minorHAnsi"/>
          <w:color w:val="231F20"/>
        </w:rPr>
        <w:t>et al.</w:t>
      </w:r>
      <w:r w:rsidRPr="00492CCC">
        <w:rPr>
          <w:rFonts w:cstheme="minorHAnsi"/>
          <w:color w:val="231F20"/>
        </w:rPr>
        <w:t xml:space="preserve"> (2019) examined the benefits of infusing social justice education in</w:t>
      </w:r>
      <w:r w:rsidR="00505B30" w:rsidRPr="00492CCC">
        <w:rPr>
          <w:rFonts w:cstheme="minorHAnsi"/>
          <w:color w:val="231F20"/>
        </w:rPr>
        <w:t>to</w:t>
      </w:r>
      <w:r w:rsidRPr="00492CCC">
        <w:rPr>
          <w:rFonts w:cstheme="minorHAnsi"/>
          <w:color w:val="231F20"/>
        </w:rPr>
        <w:t xml:space="preserve"> an undergraduate psychology course. The authors found that</w:t>
      </w:r>
      <w:r w:rsidR="00505B30" w:rsidRPr="00492CCC">
        <w:rPr>
          <w:rFonts w:cstheme="minorHAnsi"/>
          <w:color w:val="231F20"/>
        </w:rPr>
        <w:t>,</w:t>
      </w:r>
      <w:r w:rsidRPr="00492CCC">
        <w:rPr>
          <w:rFonts w:cstheme="minorHAnsi"/>
          <w:color w:val="231F20"/>
        </w:rPr>
        <w:t xml:space="preserve"> after completing the course, students were less likely to blame individuals for their poverty, focused more on systemic influences, and displayed an increase in commitment to address community problems. This shift in perspective aligns with competencies in community psychology that value ecological principles and advocacy (Christens</w:t>
      </w:r>
      <w:r w:rsidR="00E64911" w:rsidRPr="00492CCC">
        <w:rPr>
          <w:rFonts w:cstheme="minorHAnsi"/>
          <w:color w:val="231F20"/>
        </w:rPr>
        <w:t xml:space="preserve"> et al.</w:t>
      </w:r>
      <w:r w:rsidRPr="00492CCC">
        <w:rPr>
          <w:rFonts w:cstheme="minorHAnsi"/>
          <w:color w:val="231F20"/>
        </w:rPr>
        <w:t>, 2015; Kloos et al., 2012). Jimenez et al. (2016) further articulate</w:t>
      </w:r>
      <w:r w:rsidR="00E64911" w:rsidRPr="00492CCC">
        <w:rPr>
          <w:rFonts w:cstheme="minorHAnsi"/>
          <w:color w:val="231F20"/>
        </w:rPr>
        <w:t>d that</w:t>
      </w:r>
      <w:r w:rsidRPr="00492CCC">
        <w:rPr>
          <w:rFonts w:cstheme="minorHAnsi"/>
          <w:color w:val="231F20"/>
        </w:rPr>
        <w:t xml:space="preserve"> when undergraduate students </w:t>
      </w:r>
      <w:proofErr w:type="gramStart"/>
      <w:r w:rsidRPr="00492CCC">
        <w:rPr>
          <w:rFonts w:cstheme="minorHAnsi"/>
          <w:color w:val="231F20"/>
        </w:rPr>
        <w:t>have the opportunity to</w:t>
      </w:r>
      <w:proofErr w:type="gramEnd"/>
      <w:r w:rsidRPr="00492CCC">
        <w:rPr>
          <w:rFonts w:cstheme="minorHAnsi"/>
          <w:color w:val="231F20"/>
        </w:rPr>
        <w:t xml:space="preserve"> complete a course in community psychology</w:t>
      </w:r>
      <w:r w:rsidR="006B26A1" w:rsidRPr="00492CCC">
        <w:rPr>
          <w:rFonts w:cstheme="minorHAnsi"/>
          <w:color w:val="231F20"/>
        </w:rPr>
        <w:t>,</w:t>
      </w:r>
      <w:r w:rsidR="00875D93" w:rsidRPr="00492CCC">
        <w:rPr>
          <w:rFonts w:cstheme="minorHAnsi"/>
          <w:color w:val="231F20"/>
        </w:rPr>
        <w:t xml:space="preserve"> </w:t>
      </w:r>
      <w:r w:rsidRPr="00492CCC">
        <w:rPr>
          <w:rFonts w:cstheme="minorHAnsi"/>
          <w:color w:val="231F20"/>
        </w:rPr>
        <w:t>they begin to see how they are an essential resource in project</w:t>
      </w:r>
      <w:r w:rsidR="00505B30" w:rsidRPr="00492CCC">
        <w:rPr>
          <w:rFonts w:cstheme="minorHAnsi"/>
          <w:color w:val="231F20"/>
        </w:rPr>
        <w:t xml:space="preserve"> leadership</w:t>
      </w:r>
      <w:r w:rsidRPr="00492CCC">
        <w:rPr>
          <w:rFonts w:cstheme="minorHAnsi"/>
          <w:color w:val="231F20"/>
        </w:rPr>
        <w:t xml:space="preserve"> and community organizing. </w:t>
      </w:r>
    </w:p>
    <w:p w14:paraId="59478E2C" w14:textId="3FCD96F9" w:rsidR="00124A6F" w:rsidRPr="00492CCC" w:rsidRDefault="00A6074E" w:rsidP="00287F11">
      <w:pPr>
        <w:pStyle w:val="BodyText"/>
        <w:rPr>
          <w:rFonts w:cstheme="minorHAnsi"/>
          <w:color w:val="231F20"/>
        </w:rPr>
      </w:pPr>
      <w:proofErr w:type="gramStart"/>
      <w:r w:rsidRPr="00492CCC">
        <w:rPr>
          <w:rFonts w:cstheme="minorHAnsi"/>
          <w:color w:val="231F20"/>
        </w:rPr>
        <w:t>Similar to</w:t>
      </w:r>
      <w:proofErr w:type="gramEnd"/>
      <w:r w:rsidRPr="00492CCC">
        <w:rPr>
          <w:rFonts w:cstheme="minorHAnsi"/>
          <w:color w:val="231F20"/>
        </w:rPr>
        <w:t xml:space="preserve"> the quantitative results, the qualitative findings suggest some advantages for students doing work as a group versus as individual</w:t>
      </w:r>
      <w:r w:rsidR="00E64911" w:rsidRPr="00492CCC">
        <w:rPr>
          <w:rFonts w:cstheme="minorHAnsi"/>
          <w:color w:val="231F20"/>
        </w:rPr>
        <w:t>s</w:t>
      </w:r>
      <w:r w:rsidRPr="00492CCC">
        <w:rPr>
          <w:rFonts w:cstheme="minorHAnsi"/>
          <w:color w:val="231F20"/>
        </w:rPr>
        <w:t>. In the courses with groups completing the community engagement assignment</w:t>
      </w:r>
      <w:r w:rsidR="00E64911" w:rsidRPr="00492CCC">
        <w:rPr>
          <w:rFonts w:cstheme="minorHAnsi"/>
          <w:color w:val="231F20"/>
        </w:rPr>
        <w:t>,</w:t>
      </w:r>
      <w:r w:rsidRPr="00492CCC">
        <w:rPr>
          <w:rFonts w:cstheme="minorHAnsi"/>
          <w:color w:val="231F20"/>
        </w:rPr>
        <w:t xml:space="preserve"> student responses were more likely to express social justice behaviors compared </w:t>
      </w:r>
      <w:r w:rsidR="00E64911" w:rsidRPr="00492CCC">
        <w:rPr>
          <w:rFonts w:cstheme="minorHAnsi"/>
          <w:color w:val="231F20"/>
        </w:rPr>
        <w:t>with</w:t>
      </w:r>
      <w:r w:rsidRPr="00492CCC">
        <w:rPr>
          <w:rFonts w:cstheme="minorHAnsi"/>
          <w:color w:val="231F20"/>
        </w:rPr>
        <w:t xml:space="preserve"> students in the first</w:t>
      </w:r>
      <w:r w:rsidR="00E64911" w:rsidRPr="00492CCC">
        <w:rPr>
          <w:rFonts w:cstheme="minorHAnsi"/>
          <w:color w:val="231F20"/>
        </w:rPr>
        <w:t xml:space="preserve"> </w:t>
      </w:r>
      <w:r w:rsidRPr="00492CCC">
        <w:rPr>
          <w:rFonts w:cstheme="minorHAnsi"/>
          <w:color w:val="231F20"/>
        </w:rPr>
        <w:t>course offering</w:t>
      </w:r>
      <w:r w:rsidR="00505B30" w:rsidRPr="00492CCC">
        <w:rPr>
          <w:rFonts w:cstheme="minorHAnsi"/>
          <w:color w:val="231F20"/>
        </w:rPr>
        <w:t xml:space="preserve"> who worked independently</w:t>
      </w:r>
      <w:r w:rsidRPr="00492CCC">
        <w:rPr>
          <w:rFonts w:cstheme="minorHAnsi"/>
          <w:color w:val="231F20"/>
        </w:rPr>
        <w:t>. It is possible to conclude</w:t>
      </w:r>
      <w:r w:rsidR="00E64911" w:rsidRPr="00492CCC">
        <w:rPr>
          <w:rFonts w:cstheme="minorHAnsi"/>
          <w:color w:val="231F20"/>
        </w:rPr>
        <w:t xml:space="preserve"> that</w:t>
      </w:r>
      <w:r w:rsidRPr="00492CCC">
        <w:rPr>
          <w:rFonts w:cstheme="minorHAnsi"/>
          <w:color w:val="231F20"/>
        </w:rPr>
        <w:t xml:space="preserve"> having others around students working on similar activities or for similar causes is beneficial in improving social justice behaviors. Students who begin to demonstrate changes in attitudes and beliefs may feel more</w:t>
      </w:r>
      <w:r w:rsidR="00124A6F" w:rsidRPr="00492CCC">
        <w:rPr>
          <w:rFonts w:cstheme="minorHAnsi"/>
          <w:color w:val="231F20"/>
        </w:rPr>
        <w:t xml:space="preserve"> efficacious about their social justice behaviors when they interact with others who support and affirm such behaviors (</w:t>
      </w:r>
      <w:proofErr w:type="spellStart"/>
      <w:r w:rsidR="00124A6F" w:rsidRPr="00492CCC">
        <w:rPr>
          <w:rFonts w:cstheme="minorHAnsi"/>
          <w:color w:val="231F20"/>
        </w:rPr>
        <w:t>Einfeld</w:t>
      </w:r>
      <w:proofErr w:type="spellEnd"/>
      <w:r w:rsidR="00124A6F" w:rsidRPr="00492CCC">
        <w:rPr>
          <w:rFonts w:cstheme="minorHAnsi"/>
          <w:color w:val="231F20"/>
        </w:rPr>
        <w:t xml:space="preserve"> &amp; Collins, 2008).</w:t>
      </w:r>
    </w:p>
    <w:p w14:paraId="29261EAE" w14:textId="2BCF2BDB" w:rsidR="00124A6F" w:rsidRPr="00492CCC" w:rsidRDefault="00124A6F" w:rsidP="00773B36">
      <w:pPr>
        <w:pStyle w:val="BodyText"/>
        <w:rPr>
          <w:rFonts w:cstheme="minorHAnsi"/>
        </w:rPr>
      </w:pPr>
      <w:r w:rsidRPr="00492CCC">
        <w:rPr>
          <w:rFonts w:cstheme="minorHAnsi"/>
          <w:color w:val="231F20"/>
        </w:rPr>
        <w:t>Assessing the value orientation of racially diverse students enrolled in the undergraduate community course corroborate</w:t>
      </w:r>
      <w:r w:rsidR="00E64911" w:rsidRPr="00492CCC">
        <w:rPr>
          <w:rFonts w:cstheme="minorHAnsi"/>
          <w:color w:val="231F20"/>
        </w:rPr>
        <w:t>s</w:t>
      </w:r>
      <w:r w:rsidRPr="00492CCC">
        <w:rPr>
          <w:rFonts w:cstheme="minorHAnsi"/>
          <w:color w:val="231F20"/>
        </w:rPr>
        <w:t xml:space="preserve"> the work of other scholars (Mitchell, 2007, 2014; Simons et al., 2012) as well as offers</w:t>
      </w:r>
      <w:r w:rsidR="00505B30" w:rsidRPr="00492CCC">
        <w:rPr>
          <w:rFonts w:cstheme="minorHAnsi"/>
          <w:color w:val="231F20"/>
        </w:rPr>
        <w:t xml:space="preserve"> new</w:t>
      </w:r>
      <w:r w:rsidRPr="00492CCC">
        <w:rPr>
          <w:rFonts w:cstheme="minorHAnsi"/>
          <w:color w:val="231F20"/>
        </w:rPr>
        <w:t xml:space="preserve"> insight into how such learning can translate into other valuable skills </w:t>
      </w:r>
      <w:r w:rsidRPr="00492CCC">
        <w:rPr>
          <w:rFonts w:cstheme="minorHAnsi"/>
          <w:color w:val="231F20"/>
        </w:rPr>
        <w:lastRenderedPageBreak/>
        <w:t>and engagement. Several bodies of research highlight the link between social justice attitudes and beliefs and improvements in political self-efficacy and civic engagement (</w:t>
      </w:r>
      <w:proofErr w:type="spellStart"/>
      <w:r w:rsidRPr="00492CCC">
        <w:rPr>
          <w:rFonts w:cstheme="minorHAnsi"/>
          <w:color w:val="231F20"/>
        </w:rPr>
        <w:t>Moely</w:t>
      </w:r>
      <w:proofErr w:type="spellEnd"/>
      <w:r w:rsidR="00875D93" w:rsidRPr="00492CCC">
        <w:rPr>
          <w:rFonts w:cstheme="minorHAnsi"/>
          <w:color w:val="231F20"/>
        </w:rPr>
        <w:t xml:space="preserve"> et al.</w:t>
      </w:r>
      <w:r w:rsidRPr="00492CCC">
        <w:rPr>
          <w:rFonts w:cstheme="minorHAnsi"/>
          <w:color w:val="231F20"/>
        </w:rPr>
        <w:t xml:space="preserve">, 2002; Watts &amp; Flanagan, 2007). When students begin to see how they can make a difference in the lives of others, it can potentially increase their efficacy toward achieving other related tasks and goals. Students who </w:t>
      </w:r>
      <w:proofErr w:type="gramStart"/>
      <w:r w:rsidRPr="00492CCC">
        <w:rPr>
          <w:rFonts w:cstheme="minorHAnsi"/>
          <w:color w:val="231F20"/>
        </w:rPr>
        <w:t>are able to</w:t>
      </w:r>
      <w:proofErr w:type="gramEnd"/>
      <w:r w:rsidRPr="00492CCC">
        <w:rPr>
          <w:rFonts w:cstheme="minorHAnsi"/>
          <w:color w:val="231F20"/>
        </w:rPr>
        <w:t xml:space="preserve"> develop a value orientation toward social justice increase their sense of agency and are likely to pursue career opportunities that place them in positions to combat inequalities (</w:t>
      </w:r>
      <w:proofErr w:type="spellStart"/>
      <w:r w:rsidRPr="00492CCC">
        <w:rPr>
          <w:rFonts w:cstheme="minorHAnsi"/>
          <w:color w:val="231F20"/>
        </w:rPr>
        <w:t>Gallor</w:t>
      </w:r>
      <w:proofErr w:type="spellEnd"/>
      <w:r w:rsidRPr="00492CCC">
        <w:rPr>
          <w:rFonts w:cstheme="minorHAnsi"/>
          <w:color w:val="231F20"/>
        </w:rPr>
        <w:t>, 2017</w:t>
      </w:r>
      <w:r w:rsidR="0052783B" w:rsidRPr="00492CCC">
        <w:rPr>
          <w:rFonts w:cstheme="minorHAnsi"/>
          <w:color w:val="231F20"/>
        </w:rPr>
        <w:t>;</w:t>
      </w:r>
      <w:r w:rsidRPr="00492CCC">
        <w:rPr>
          <w:rFonts w:cstheme="minorHAnsi"/>
          <w:color w:val="231F20"/>
        </w:rPr>
        <w:t xml:space="preserve"> Hardiman et al., </w:t>
      </w:r>
      <w:hyperlink w:anchor="_bookmark30" w:history="1">
        <w:r w:rsidRPr="00492CCC">
          <w:rPr>
            <w:rFonts w:cstheme="minorHAnsi"/>
            <w:color w:val="231F20"/>
          </w:rPr>
          <w:t xml:space="preserve">2007; </w:t>
        </w:r>
      </w:hyperlink>
      <w:r w:rsidRPr="00492CCC">
        <w:rPr>
          <w:rFonts w:cstheme="minorHAnsi"/>
          <w:color w:val="231F20"/>
        </w:rPr>
        <w:t>Simons et al., 2012). Moreover, increasing student</w:t>
      </w:r>
      <w:r w:rsidR="00287F11" w:rsidRPr="00492CCC">
        <w:rPr>
          <w:rFonts w:cstheme="minorHAnsi"/>
          <w:color w:val="231F20"/>
        </w:rPr>
        <w:t>s’</w:t>
      </w:r>
      <w:r w:rsidRPr="00492CCC">
        <w:rPr>
          <w:rFonts w:cstheme="minorHAnsi"/>
          <w:color w:val="231F20"/>
        </w:rPr>
        <w:t xml:space="preserve"> involvement in reciprocal relationships with community members to solve problems can serve as a predictor of continued social justice advocacy (Mitchell, 2007, 2014).</w:t>
      </w:r>
    </w:p>
    <w:p w14:paraId="0FC8A133" w14:textId="77777777" w:rsidR="00124A6F" w:rsidRPr="00492CCC" w:rsidRDefault="00124A6F" w:rsidP="00773B36">
      <w:pPr>
        <w:pStyle w:val="Heading2"/>
      </w:pPr>
      <w:r w:rsidRPr="00492CCC">
        <w:t>Limitations of the Present Study</w:t>
      </w:r>
    </w:p>
    <w:p w14:paraId="58E1C8E2" w14:textId="1E65C295" w:rsidR="00505B30" w:rsidRPr="00492CCC" w:rsidRDefault="00124A6F" w:rsidP="00505B30">
      <w:pPr>
        <w:pStyle w:val="BodyText"/>
        <w:rPr>
          <w:rFonts w:cstheme="minorHAnsi"/>
          <w:color w:val="231F20"/>
        </w:rPr>
      </w:pPr>
      <w:r w:rsidRPr="00492CCC">
        <w:rPr>
          <w:rFonts w:cstheme="minorHAnsi"/>
          <w:color w:val="231F20"/>
        </w:rPr>
        <w:t xml:space="preserve">The conclusions from </w:t>
      </w:r>
      <w:r w:rsidR="00287F11" w:rsidRPr="00492CCC">
        <w:rPr>
          <w:rFonts w:cstheme="minorHAnsi"/>
          <w:color w:val="231F20"/>
        </w:rPr>
        <w:t>this</w:t>
      </w:r>
      <w:r w:rsidRPr="00492CCC">
        <w:rPr>
          <w:rFonts w:cstheme="minorHAnsi"/>
          <w:color w:val="231F20"/>
        </w:rPr>
        <w:t xml:space="preserve"> study have some limitations. For one, </w:t>
      </w:r>
      <w:r w:rsidR="00E64911" w:rsidRPr="00492CCC">
        <w:rPr>
          <w:rFonts w:cstheme="minorHAnsi"/>
          <w:color w:val="231F20"/>
        </w:rPr>
        <w:t xml:space="preserve">we </w:t>
      </w:r>
      <w:r w:rsidRPr="00492CCC">
        <w:rPr>
          <w:rFonts w:cstheme="minorHAnsi"/>
          <w:color w:val="231F20"/>
        </w:rPr>
        <w:t>did not include a control or comparison group in our study</w:t>
      </w:r>
      <w:r w:rsidR="00E64911" w:rsidRPr="00492CCC">
        <w:rPr>
          <w:rFonts w:cstheme="minorHAnsi"/>
          <w:color w:val="231F20"/>
        </w:rPr>
        <w:t xml:space="preserve"> design</w:t>
      </w:r>
      <w:r w:rsidRPr="00492CCC">
        <w:rPr>
          <w:rFonts w:cstheme="minorHAnsi"/>
          <w:color w:val="231F20"/>
        </w:rPr>
        <w:t xml:space="preserve"> to determine if there were any distinctions in students</w:t>
      </w:r>
      <w:r w:rsidR="00E64911" w:rsidRPr="00492CCC">
        <w:rPr>
          <w:rFonts w:cstheme="minorHAnsi"/>
          <w:color w:val="231F20"/>
        </w:rPr>
        <w:t>’</w:t>
      </w:r>
      <w:r w:rsidRPr="00492CCC">
        <w:rPr>
          <w:rFonts w:cstheme="minorHAnsi"/>
          <w:color w:val="231F20"/>
        </w:rPr>
        <w:t xml:space="preserve"> value orientation toward social justice between those enrolled in the undergraduate community psychology course versus </w:t>
      </w:r>
      <w:proofErr w:type="spellStart"/>
      <w:r w:rsidRPr="00492CCC">
        <w:rPr>
          <w:rFonts w:cstheme="minorHAnsi"/>
          <w:color w:val="231F20"/>
        </w:rPr>
        <w:t>nonenrolled</w:t>
      </w:r>
      <w:proofErr w:type="spellEnd"/>
      <w:r w:rsidRPr="00492CCC">
        <w:rPr>
          <w:rFonts w:cstheme="minorHAnsi"/>
          <w:color w:val="231F20"/>
        </w:rPr>
        <w:t xml:space="preserve"> students. </w:t>
      </w:r>
      <w:r w:rsidR="00E64911" w:rsidRPr="00492CCC">
        <w:rPr>
          <w:rFonts w:cstheme="minorHAnsi"/>
          <w:color w:val="231F20"/>
        </w:rPr>
        <w:t>F</w:t>
      </w:r>
      <w:r w:rsidRPr="00492CCC">
        <w:rPr>
          <w:rFonts w:cstheme="minorHAnsi"/>
          <w:color w:val="231F20"/>
        </w:rPr>
        <w:t xml:space="preserve">uture </w:t>
      </w:r>
      <w:r w:rsidR="00E64911" w:rsidRPr="00492CCC">
        <w:rPr>
          <w:rFonts w:cstheme="minorHAnsi"/>
          <w:color w:val="231F20"/>
        </w:rPr>
        <w:t xml:space="preserve">research should </w:t>
      </w:r>
      <w:r w:rsidRPr="00492CCC">
        <w:rPr>
          <w:rFonts w:cstheme="minorHAnsi"/>
          <w:color w:val="231F20"/>
        </w:rPr>
        <w:t xml:space="preserve">consider the use of a more diverse sample and students in other psychology courses to determine effects and guide stronger conclusions. A second limitation in this study is </w:t>
      </w:r>
      <w:r w:rsidR="00E64911" w:rsidRPr="00492CCC">
        <w:rPr>
          <w:rFonts w:cstheme="minorHAnsi"/>
          <w:color w:val="231F20"/>
        </w:rPr>
        <w:t xml:space="preserve">that </w:t>
      </w:r>
      <w:r w:rsidRPr="00492CCC">
        <w:rPr>
          <w:rFonts w:cstheme="minorHAnsi"/>
          <w:color w:val="231F20"/>
        </w:rPr>
        <w:t>students’ incoming scores were high</w:t>
      </w:r>
      <w:r w:rsidR="00E64911" w:rsidRPr="00492CCC">
        <w:rPr>
          <w:rFonts w:cstheme="minorHAnsi"/>
          <w:color w:val="231F20"/>
        </w:rPr>
        <w:t>,</w:t>
      </w:r>
      <w:r w:rsidRPr="00492CCC">
        <w:rPr>
          <w:rFonts w:cstheme="minorHAnsi"/>
          <w:color w:val="231F20"/>
        </w:rPr>
        <w:t xml:space="preserve"> </w:t>
      </w:r>
      <w:r w:rsidR="00E64911" w:rsidRPr="00492CCC">
        <w:rPr>
          <w:rFonts w:cstheme="minorHAnsi"/>
          <w:color w:val="231F20"/>
        </w:rPr>
        <w:t xml:space="preserve">which </w:t>
      </w:r>
      <w:r w:rsidRPr="00492CCC">
        <w:rPr>
          <w:rFonts w:cstheme="minorHAnsi"/>
          <w:color w:val="231F20"/>
        </w:rPr>
        <w:t xml:space="preserve">limits interpretations of any effects of the course on their value orientation. </w:t>
      </w:r>
      <w:r w:rsidR="00E64911" w:rsidRPr="00492CCC">
        <w:rPr>
          <w:rFonts w:cstheme="minorHAnsi"/>
          <w:color w:val="231F20"/>
        </w:rPr>
        <w:t>We aimed to address this issue by</w:t>
      </w:r>
      <w:r w:rsidRPr="00492CCC">
        <w:rPr>
          <w:rFonts w:cstheme="minorHAnsi"/>
          <w:color w:val="231F20"/>
        </w:rPr>
        <w:t xml:space="preserve"> focus</w:t>
      </w:r>
      <w:r w:rsidR="00E64911" w:rsidRPr="00492CCC">
        <w:rPr>
          <w:rFonts w:cstheme="minorHAnsi"/>
          <w:color w:val="231F20"/>
        </w:rPr>
        <w:t>ing</w:t>
      </w:r>
      <w:r w:rsidRPr="00492CCC">
        <w:rPr>
          <w:rFonts w:cstheme="minorHAnsi"/>
          <w:color w:val="231F20"/>
        </w:rPr>
        <w:t xml:space="preserve"> on the </w:t>
      </w:r>
      <w:proofErr w:type="gramStart"/>
      <w:r w:rsidRPr="00492CCC">
        <w:rPr>
          <w:rFonts w:cstheme="minorHAnsi"/>
          <w:color w:val="231F20"/>
        </w:rPr>
        <w:t>median</w:t>
      </w:r>
      <w:proofErr w:type="gramEnd"/>
      <w:r w:rsidRPr="00492CCC">
        <w:rPr>
          <w:rFonts w:cstheme="minorHAnsi"/>
          <w:color w:val="231F20"/>
        </w:rPr>
        <w:t xml:space="preserve"> of the group and </w:t>
      </w:r>
      <w:r w:rsidR="00E64911" w:rsidRPr="00492CCC">
        <w:rPr>
          <w:rFonts w:cstheme="minorHAnsi"/>
          <w:color w:val="231F20"/>
        </w:rPr>
        <w:t>by using</w:t>
      </w:r>
      <w:r w:rsidRPr="00492CCC">
        <w:rPr>
          <w:rFonts w:cstheme="minorHAnsi"/>
          <w:color w:val="231F20"/>
        </w:rPr>
        <w:t xml:space="preserve"> nonparametric analysis. </w:t>
      </w:r>
    </w:p>
    <w:p w14:paraId="141B58B7" w14:textId="00C8C064" w:rsidR="00124A6F" w:rsidRPr="00492CCC" w:rsidRDefault="00124A6F" w:rsidP="00773B36">
      <w:pPr>
        <w:pStyle w:val="BodyText"/>
        <w:rPr>
          <w:rFonts w:cstheme="minorHAnsi"/>
        </w:rPr>
      </w:pPr>
      <w:r w:rsidRPr="00492CCC">
        <w:rPr>
          <w:rFonts w:cstheme="minorHAnsi"/>
          <w:color w:val="231F20"/>
        </w:rPr>
        <w:t xml:space="preserve">Last, </w:t>
      </w:r>
      <w:r w:rsidR="00E64911" w:rsidRPr="00492CCC">
        <w:rPr>
          <w:rFonts w:cstheme="minorHAnsi"/>
          <w:color w:val="231F20"/>
        </w:rPr>
        <w:t xml:space="preserve">we </w:t>
      </w:r>
      <w:r w:rsidRPr="00492CCC">
        <w:rPr>
          <w:rFonts w:cstheme="minorHAnsi"/>
          <w:color w:val="231F20"/>
        </w:rPr>
        <w:t xml:space="preserve">acknowledge other confounding factors not addressed in this study. The faculty </w:t>
      </w:r>
      <w:proofErr w:type="gramStart"/>
      <w:r w:rsidRPr="00492CCC">
        <w:rPr>
          <w:rFonts w:cstheme="minorHAnsi"/>
          <w:color w:val="231F20"/>
        </w:rPr>
        <w:t>member</w:t>
      </w:r>
      <w:proofErr w:type="gramEnd"/>
      <w:r w:rsidRPr="00492CCC">
        <w:rPr>
          <w:rFonts w:cstheme="minorHAnsi"/>
          <w:color w:val="231F20"/>
        </w:rPr>
        <w:t xml:space="preserve"> teaching the course </w:t>
      </w:r>
      <w:bookmarkStart w:id="0" w:name="_bookmark4"/>
      <w:bookmarkEnd w:id="0"/>
      <w:r w:rsidRPr="00492CCC">
        <w:rPr>
          <w:rFonts w:cstheme="minorHAnsi"/>
          <w:color w:val="231F20"/>
        </w:rPr>
        <w:t xml:space="preserve">shared a racial identity with students in the course and espoused </w:t>
      </w:r>
      <w:r w:rsidR="00287F11" w:rsidRPr="00492CCC">
        <w:rPr>
          <w:rFonts w:cstheme="minorHAnsi"/>
          <w:color w:val="231F20"/>
        </w:rPr>
        <w:t xml:space="preserve">a </w:t>
      </w:r>
      <w:r w:rsidRPr="00492CCC">
        <w:rPr>
          <w:rFonts w:cstheme="minorHAnsi"/>
          <w:color w:val="231F20"/>
        </w:rPr>
        <w:t xml:space="preserve">social justice pedagogy. Scholars </w:t>
      </w:r>
      <w:r w:rsidR="00AA3846" w:rsidRPr="00492CCC">
        <w:rPr>
          <w:rFonts w:cstheme="minorHAnsi"/>
          <w:color w:val="231F20"/>
        </w:rPr>
        <w:t xml:space="preserve">have </w:t>
      </w:r>
      <w:r w:rsidRPr="00492CCC">
        <w:rPr>
          <w:rFonts w:cstheme="minorHAnsi"/>
          <w:color w:val="231F20"/>
        </w:rPr>
        <w:t>argue</w:t>
      </w:r>
      <w:r w:rsidR="00AA3846" w:rsidRPr="00492CCC">
        <w:rPr>
          <w:rFonts w:cstheme="minorHAnsi"/>
          <w:color w:val="231F20"/>
        </w:rPr>
        <w:t>d that</w:t>
      </w:r>
      <w:r w:rsidRPr="00492CCC">
        <w:rPr>
          <w:rFonts w:cstheme="minorHAnsi"/>
          <w:color w:val="231F20"/>
        </w:rPr>
        <w:t xml:space="preserve"> a faculty</w:t>
      </w:r>
      <w:r w:rsidR="00AA3846" w:rsidRPr="00492CCC">
        <w:rPr>
          <w:rFonts w:cstheme="minorHAnsi"/>
          <w:color w:val="231F20"/>
        </w:rPr>
        <w:t xml:space="preserve"> member</w:t>
      </w:r>
      <w:r w:rsidRPr="00492CCC">
        <w:rPr>
          <w:rFonts w:cstheme="minorHAnsi"/>
          <w:color w:val="231F20"/>
        </w:rPr>
        <w:t>’s orientation</w:t>
      </w:r>
      <w:r w:rsidR="00505B30" w:rsidRPr="00492CCC">
        <w:rPr>
          <w:rFonts w:cstheme="minorHAnsi"/>
          <w:color w:val="231F20"/>
        </w:rPr>
        <w:t xml:space="preserve"> and sharing identities with students can</w:t>
      </w:r>
      <w:r w:rsidRPr="00492CCC">
        <w:rPr>
          <w:rFonts w:cstheme="minorHAnsi"/>
          <w:color w:val="231F20"/>
        </w:rPr>
        <w:t xml:space="preserve"> significant</w:t>
      </w:r>
      <w:r w:rsidR="00505B30" w:rsidRPr="00492CCC">
        <w:rPr>
          <w:rFonts w:cstheme="minorHAnsi"/>
          <w:color w:val="231F20"/>
        </w:rPr>
        <w:t>ly</w:t>
      </w:r>
      <w:r w:rsidRPr="00492CCC">
        <w:rPr>
          <w:rFonts w:cstheme="minorHAnsi"/>
          <w:color w:val="231F20"/>
        </w:rPr>
        <w:t xml:space="preserve"> impact shaping students’ attitudes and behaviors (Funge, 2011; Lott &amp; Rogers, 2011). </w:t>
      </w:r>
      <w:r w:rsidR="00AA3846" w:rsidRPr="00492CCC">
        <w:rPr>
          <w:rFonts w:cstheme="minorHAnsi"/>
          <w:color w:val="231F20"/>
        </w:rPr>
        <w:t>We</w:t>
      </w:r>
      <w:r w:rsidRPr="00492CCC">
        <w:rPr>
          <w:rFonts w:cstheme="minorHAnsi"/>
          <w:color w:val="231F20"/>
        </w:rPr>
        <w:t xml:space="preserve"> also acknowledge </w:t>
      </w:r>
      <w:r w:rsidR="00AA3846" w:rsidRPr="00492CCC">
        <w:rPr>
          <w:rFonts w:cstheme="minorHAnsi"/>
          <w:color w:val="231F20"/>
        </w:rPr>
        <w:t xml:space="preserve">that </w:t>
      </w:r>
      <w:r w:rsidRPr="00492CCC">
        <w:rPr>
          <w:rFonts w:cstheme="minorHAnsi"/>
          <w:color w:val="231F20"/>
        </w:rPr>
        <w:t xml:space="preserve">faculty as well as the way items were </w:t>
      </w:r>
      <w:r w:rsidRPr="00492CCC">
        <w:rPr>
          <w:rFonts w:cstheme="minorHAnsi"/>
          <w:color w:val="231F20"/>
        </w:rPr>
        <w:lastRenderedPageBreak/>
        <w:t>phrased on the SJS may influence students</w:t>
      </w:r>
      <w:r w:rsidR="00AA3846" w:rsidRPr="00492CCC">
        <w:rPr>
          <w:rFonts w:cstheme="minorHAnsi"/>
          <w:color w:val="231F20"/>
        </w:rPr>
        <w:t xml:space="preserve"> to</w:t>
      </w:r>
      <w:r w:rsidRPr="00492CCC">
        <w:rPr>
          <w:rFonts w:cstheme="minorHAnsi"/>
          <w:color w:val="231F20"/>
        </w:rPr>
        <w:t xml:space="preserve"> rat</w:t>
      </w:r>
      <w:r w:rsidR="00AA3846" w:rsidRPr="00492CCC">
        <w:rPr>
          <w:rFonts w:cstheme="minorHAnsi"/>
          <w:color w:val="231F20"/>
        </w:rPr>
        <w:t>e</w:t>
      </w:r>
      <w:r w:rsidRPr="00492CCC">
        <w:rPr>
          <w:rFonts w:cstheme="minorHAnsi"/>
          <w:color w:val="231F20"/>
        </w:rPr>
        <w:t xml:space="preserve"> themselves higher on the scale due to perceptions that such beliefs are considered socially desirable (Arnold &amp; Feldman, 1981). </w:t>
      </w:r>
      <w:r w:rsidR="00505B30" w:rsidRPr="00492CCC">
        <w:rPr>
          <w:rFonts w:cstheme="minorHAnsi"/>
          <w:color w:val="231F20"/>
        </w:rPr>
        <w:t xml:space="preserve">The study findings are limited by </w:t>
      </w:r>
      <w:r w:rsidRPr="00492CCC">
        <w:rPr>
          <w:rFonts w:cstheme="minorHAnsi"/>
          <w:color w:val="231F20"/>
        </w:rPr>
        <w:t>a</w:t>
      </w:r>
      <w:r w:rsidR="00287F11" w:rsidRPr="00492CCC">
        <w:rPr>
          <w:rFonts w:cstheme="minorHAnsi"/>
          <w:color w:val="231F20"/>
        </w:rPr>
        <w:t>n</w:t>
      </w:r>
      <w:r w:rsidRPr="00492CCC">
        <w:rPr>
          <w:rFonts w:cstheme="minorHAnsi"/>
          <w:color w:val="231F20"/>
        </w:rPr>
        <w:t xml:space="preserve"> </w:t>
      </w:r>
      <w:r w:rsidR="00505B30" w:rsidRPr="00492CCC">
        <w:rPr>
          <w:rFonts w:cstheme="minorHAnsi"/>
          <w:color w:val="231F20"/>
        </w:rPr>
        <w:t>in</w:t>
      </w:r>
      <w:r w:rsidRPr="00492CCC">
        <w:rPr>
          <w:rFonts w:cstheme="minorHAnsi"/>
          <w:color w:val="231F20"/>
        </w:rPr>
        <w:t>ability to control for these factors or compare students’ orientation in the course with other students.</w:t>
      </w:r>
    </w:p>
    <w:p w14:paraId="78273074" w14:textId="77777777" w:rsidR="00124A6F" w:rsidRPr="00492CCC" w:rsidRDefault="00124A6F" w:rsidP="00773B36">
      <w:pPr>
        <w:pStyle w:val="Heading2"/>
      </w:pPr>
      <w:r w:rsidRPr="00492CCC">
        <w:t>Conclusion</w:t>
      </w:r>
    </w:p>
    <w:p w14:paraId="127AD964" w14:textId="75B8164F" w:rsidR="00124A6F" w:rsidRPr="00492CCC" w:rsidRDefault="00124A6F" w:rsidP="00773B36">
      <w:pPr>
        <w:pStyle w:val="BodyText"/>
        <w:rPr>
          <w:rFonts w:cstheme="minorHAnsi"/>
        </w:rPr>
      </w:pPr>
      <w:r w:rsidRPr="00492CCC">
        <w:rPr>
          <w:rFonts w:cstheme="minorHAnsi"/>
          <w:color w:val="231F20"/>
        </w:rPr>
        <w:t>The potential increase in the number of racially diverse students who will enter universities and who are in search of experiences that are relevant and prepare them to address broader challenges in society provides an opportunity to understand the connection between students’ value orientation and learning in psychology. Identifying ways to infuse community engagement in</w:t>
      </w:r>
      <w:r w:rsidR="00505B30" w:rsidRPr="00492CCC">
        <w:rPr>
          <w:rFonts w:cstheme="minorHAnsi"/>
          <w:color w:val="231F20"/>
        </w:rPr>
        <w:t>to</w:t>
      </w:r>
      <w:r w:rsidRPr="00492CCC">
        <w:rPr>
          <w:rFonts w:cstheme="minorHAnsi"/>
          <w:color w:val="231F20"/>
        </w:rPr>
        <w:t xml:space="preserve"> the undergraduate experience where students learn to reflect, analyze systems, and model advocacy may be a way to retain students’ interest in the field of psychology and, more broadly, in completing college (Reed</w:t>
      </w:r>
      <w:r w:rsidR="00875D93" w:rsidRPr="00492CCC">
        <w:rPr>
          <w:rFonts w:cstheme="minorHAnsi"/>
          <w:color w:val="231F20"/>
        </w:rPr>
        <w:t xml:space="preserve"> et al.</w:t>
      </w:r>
      <w:r w:rsidRPr="00492CCC">
        <w:rPr>
          <w:rFonts w:cstheme="minorHAnsi"/>
          <w:color w:val="231F20"/>
        </w:rPr>
        <w:t>, 2015). Findings from this study are highly valuable to</w:t>
      </w:r>
      <w:r w:rsidR="00AA3846" w:rsidRPr="00492CCC">
        <w:rPr>
          <w:rFonts w:cstheme="minorHAnsi"/>
          <w:color w:val="231F20"/>
        </w:rPr>
        <w:t xml:space="preserve"> the field of</w:t>
      </w:r>
      <w:r w:rsidRPr="00492CCC">
        <w:rPr>
          <w:rFonts w:cstheme="minorHAnsi"/>
          <w:color w:val="231F20"/>
        </w:rPr>
        <w:t xml:space="preserve"> community psycholog</w:t>
      </w:r>
      <w:r w:rsidR="00AA3846" w:rsidRPr="00492CCC">
        <w:rPr>
          <w:rFonts w:cstheme="minorHAnsi"/>
          <w:color w:val="231F20"/>
        </w:rPr>
        <w:t>y</w:t>
      </w:r>
      <w:r w:rsidRPr="00492CCC">
        <w:rPr>
          <w:rFonts w:cstheme="minorHAnsi"/>
          <w:color w:val="231F20"/>
        </w:rPr>
        <w:t xml:space="preserve"> and other subdisciplines </w:t>
      </w:r>
      <w:r w:rsidR="00AA3846" w:rsidRPr="00492CCC">
        <w:rPr>
          <w:rFonts w:cstheme="minorHAnsi"/>
          <w:color w:val="231F20"/>
        </w:rPr>
        <w:t xml:space="preserve">in which members are </w:t>
      </w:r>
      <w:r w:rsidRPr="00492CCC">
        <w:rPr>
          <w:rFonts w:cstheme="minorHAnsi"/>
          <w:color w:val="231F20"/>
        </w:rPr>
        <w:t xml:space="preserve">interested in increasing the number of racially diverse students in their major and continuing </w:t>
      </w:r>
      <w:r w:rsidR="00287F11" w:rsidRPr="00492CCC">
        <w:rPr>
          <w:rFonts w:cstheme="minorHAnsi"/>
          <w:color w:val="231F20"/>
        </w:rPr>
        <w:t>onto</w:t>
      </w:r>
      <w:r w:rsidRPr="00492CCC">
        <w:rPr>
          <w:rFonts w:cstheme="minorHAnsi"/>
          <w:color w:val="231F20"/>
        </w:rPr>
        <w:t xml:space="preserve"> graduate school. To date, eight of the 61 students who enrolled in the undergraduate community psychology course went on to pursue and obtain a master’s degree in community psychology or </w:t>
      </w:r>
      <w:r w:rsidR="00AA3846" w:rsidRPr="00492CCC">
        <w:rPr>
          <w:rFonts w:cstheme="minorHAnsi"/>
          <w:color w:val="231F20"/>
        </w:rPr>
        <w:t xml:space="preserve">a </w:t>
      </w:r>
      <w:r w:rsidRPr="00492CCC">
        <w:rPr>
          <w:rFonts w:cstheme="minorHAnsi"/>
          <w:color w:val="231F20"/>
        </w:rPr>
        <w:t>related psychology discipline. Mapping the value orientation of students to specific learning experiences can potentially increase persistence in the psychology major as well as prepare the next generation of advocates, practitioners, and researchers for the psychology workforce.</w:t>
      </w:r>
    </w:p>
    <w:p w14:paraId="3F9ED355" w14:textId="77777777" w:rsidR="00875D93" w:rsidRPr="00492CCC" w:rsidRDefault="00875D93" w:rsidP="00773B36">
      <w:pPr>
        <w:rPr>
          <w:rFonts w:eastAsiaTheme="majorEastAsia" w:cstheme="minorHAnsi"/>
          <w:b/>
          <w:lang w:bidi="en-US"/>
        </w:rPr>
      </w:pPr>
      <w:r w:rsidRPr="00492CCC">
        <w:br w:type="page"/>
      </w:r>
    </w:p>
    <w:p w14:paraId="2D70F6E6" w14:textId="558DE534" w:rsidR="00124A6F" w:rsidRPr="00492CCC" w:rsidRDefault="00124A6F" w:rsidP="00773B36">
      <w:pPr>
        <w:pStyle w:val="Heading1"/>
      </w:pPr>
      <w:r w:rsidRPr="00492CCC">
        <w:lastRenderedPageBreak/>
        <w:t>References</w:t>
      </w:r>
    </w:p>
    <w:p w14:paraId="1F28A14A" w14:textId="5EB2AA4B" w:rsidR="00124A6F" w:rsidRPr="00492CCC" w:rsidRDefault="00124A6F" w:rsidP="00773B36">
      <w:pPr>
        <w:ind w:left="720" w:hanging="720"/>
        <w:mirrorIndents/>
        <w:rPr>
          <w:rFonts w:cstheme="minorHAnsi"/>
        </w:rPr>
      </w:pPr>
      <w:r w:rsidRPr="00492CCC">
        <w:rPr>
          <w:rFonts w:cstheme="minorHAnsi"/>
          <w:color w:val="231F20"/>
        </w:rPr>
        <w:t xml:space="preserve">Adams, M., Bell, L. A., Goodman, D. J., &amp; Joshi, K. Y. (2016). </w:t>
      </w:r>
      <w:r w:rsidRPr="00492CCC">
        <w:rPr>
          <w:rFonts w:cstheme="minorHAnsi"/>
          <w:i/>
          <w:color w:val="231F20"/>
        </w:rPr>
        <w:t>Teaching for diversity and social justice</w:t>
      </w:r>
      <w:r w:rsidRPr="00492CCC">
        <w:rPr>
          <w:rFonts w:cstheme="minorHAnsi"/>
          <w:color w:val="231F20"/>
        </w:rPr>
        <w:t xml:space="preserve">. Routledge. </w:t>
      </w:r>
      <w:hyperlink r:id="rId12">
        <w:r w:rsidR="007175AF" w:rsidRPr="00492CCC">
          <w:rPr>
            <w:rStyle w:val="Hyperlink"/>
            <w:rFonts w:cstheme="minorHAnsi"/>
          </w:rPr>
          <w:t>https://doi.org/10.4324/9781315775852</w:t>
        </w:r>
      </w:hyperlink>
    </w:p>
    <w:p w14:paraId="359E45F5" w14:textId="4129AC79" w:rsidR="00124A6F" w:rsidRPr="00492CCC" w:rsidRDefault="00124A6F" w:rsidP="00773B36">
      <w:pPr>
        <w:ind w:left="720" w:hanging="720"/>
        <w:mirrorIndents/>
        <w:rPr>
          <w:rFonts w:cstheme="minorHAnsi"/>
        </w:rPr>
      </w:pPr>
      <w:r w:rsidRPr="00492CCC">
        <w:rPr>
          <w:rFonts w:cstheme="minorHAnsi"/>
          <w:color w:val="231F20"/>
        </w:rPr>
        <w:t xml:space="preserve">Ajzen, I. (2002). Perceived behavioral control, self-efficacy, and locus of control, and the theory of planned behavior. </w:t>
      </w:r>
      <w:r w:rsidRPr="00492CCC">
        <w:rPr>
          <w:rFonts w:cstheme="minorHAnsi"/>
          <w:i/>
          <w:color w:val="231F20"/>
        </w:rPr>
        <w:t xml:space="preserve">Journal of Applied Social </w:t>
      </w:r>
      <w:bookmarkStart w:id="1" w:name="_bookmark5"/>
      <w:bookmarkEnd w:id="1"/>
      <w:r w:rsidRPr="00492CCC">
        <w:rPr>
          <w:rFonts w:cstheme="minorHAnsi"/>
          <w:i/>
          <w:color w:val="231F20"/>
        </w:rPr>
        <w:t>Psychology</w:t>
      </w:r>
      <w:r w:rsidRPr="00492CCC">
        <w:rPr>
          <w:rFonts w:cstheme="minorHAnsi"/>
          <w:iCs/>
          <w:color w:val="231F20"/>
        </w:rPr>
        <w:t xml:space="preserve">, </w:t>
      </w:r>
      <w:r w:rsidRPr="00492CCC">
        <w:rPr>
          <w:rFonts w:cstheme="minorHAnsi"/>
          <w:i/>
          <w:color w:val="231F20"/>
        </w:rPr>
        <w:t>32</w:t>
      </w:r>
      <w:r w:rsidR="007175AF" w:rsidRPr="00492CCC">
        <w:rPr>
          <w:rFonts w:cstheme="minorHAnsi"/>
          <w:iCs/>
          <w:color w:val="231F20"/>
        </w:rPr>
        <w:t>(4)</w:t>
      </w:r>
      <w:r w:rsidRPr="00492CCC">
        <w:rPr>
          <w:rFonts w:cstheme="minorHAnsi"/>
          <w:iCs/>
          <w:color w:val="231F20"/>
        </w:rPr>
        <w:t>,</w:t>
      </w:r>
      <w:r w:rsidRPr="00492CCC">
        <w:rPr>
          <w:rFonts w:cstheme="minorHAnsi"/>
          <w:i/>
          <w:color w:val="231F20"/>
        </w:rPr>
        <w:t xml:space="preserve"> </w:t>
      </w:r>
      <w:r w:rsidRPr="00492CCC">
        <w:rPr>
          <w:rFonts w:cstheme="minorHAnsi"/>
          <w:color w:val="231F20"/>
        </w:rPr>
        <w:t xml:space="preserve">665–683. </w:t>
      </w:r>
      <w:hyperlink r:id="rId13">
        <w:r w:rsidR="001A5F8C" w:rsidRPr="00492CCC">
          <w:rPr>
            <w:rStyle w:val="Hyperlink"/>
            <w:rFonts w:cstheme="minorHAnsi"/>
          </w:rPr>
          <w:t>https://doi.org/10.1111/j</w:t>
        </w:r>
      </w:hyperlink>
      <w:hyperlink r:id="rId14">
        <w:r w:rsidR="001A5F8C" w:rsidRPr="00492CCC">
          <w:rPr>
            <w:rStyle w:val="Hyperlink"/>
            <w:rFonts w:cstheme="minorHAnsi"/>
          </w:rPr>
          <w:t>.1559-</w:t>
        </w:r>
        <w:proofErr w:type="gramStart"/>
        <w:r w:rsidR="001A5F8C" w:rsidRPr="00492CCC">
          <w:rPr>
            <w:rStyle w:val="Hyperlink"/>
            <w:rFonts w:cstheme="minorHAnsi"/>
          </w:rPr>
          <w:t>1816.2002.tb</w:t>
        </w:r>
        <w:proofErr w:type="gramEnd"/>
        <w:r w:rsidR="001A5F8C" w:rsidRPr="00492CCC">
          <w:rPr>
            <w:rStyle w:val="Hyperlink"/>
            <w:rFonts w:cstheme="minorHAnsi"/>
          </w:rPr>
          <w:t>00236.x</w:t>
        </w:r>
      </w:hyperlink>
    </w:p>
    <w:p w14:paraId="13EE87FF" w14:textId="77B0039D" w:rsidR="00124A6F" w:rsidRPr="00492CCC" w:rsidRDefault="00124A6F" w:rsidP="00773B36">
      <w:pPr>
        <w:ind w:left="720" w:hanging="720"/>
        <w:mirrorIndents/>
        <w:rPr>
          <w:rFonts w:cstheme="minorHAnsi"/>
        </w:rPr>
      </w:pPr>
      <w:bookmarkStart w:id="2" w:name="_bookmark6"/>
      <w:bookmarkEnd w:id="2"/>
      <w:r w:rsidRPr="00492CCC">
        <w:rPr>
          <w:rFonts w:cstheme="minorHAnsi"/>
          <w:color w:val="231F20"/>
        </w:rPr>
        <w:t>American Psychological Association. (2013).</w:t>
      </w:r>
      <w:bookmarkStart w:id="3" w:name="_bookmark7"/>
      <w:bookmarkEnd w:id="3"/>
      <w:r w:rsidRPr="00492CCC">
        <w:rPr>
          <w:rFonts w:cstheme="minorHAnsi"/>
          <w:color w:val="231F20"/>
        </w:rPr>
        <w:t xml:space="preserve"> </w:t>
      </w:r>
      <w:r w:rsidRPr="00492CCC">
        <w:rPr>
          <w:rFonts w:cstheme="minorHAnsi"/>
          <w:i/>
          <w:color w:val="231F20"/>
        </w:rPr>
        <w:t xml:space="preserve">APA guidelines for </w:t>
      </w:r>
      <w:proofErr w:type="gramStart"/>
      <w:r w:rsidRPr="00492CCC">
        <w:rPr>
          <w:rFonts w:cstheme="minorHAnsi"/>
          <w:i/>
          <w:color w:val="231F20"/>
        </w:rPr>
        <w:t>the undergraduate</w:t>
      </w:r>
      <w:proofErr w:type="gramEnd"/>
      <w:r w:rsidRPr="00492CCC">
        <w:rPr>
          <w:rFonts w:cstheme="minorHAnsi"/>
          <w:i/>
          <w:color w:val="231F20"/>
        </w:rPr>
        <w:t xml:space="preserve"> psychology major</w:t>
      </w:r>
      <w:r w:rsidRPr="00492CCC">
        <w:rPr>
          <w:rFonts w:cstheme="minorHAnsi"/>
          <w:color w:val="231F20"/>
        </w:rPr>
        <w:t xml:space="preserve">. </w:t>
      </w:r>
      <w:hyperlink r:id="rId15" w:history="1">
        <w:r w:rsidR="001A5F8C" w:rsidRPr="00492CCC">
          <w:rPr>
            <w:rStyle w:val="Hyperlink"/>
            <w:rFonts w:cstheme="minorHAnsi"/>
          </w:rPr>
          <w:t>https://www.apa.org/ed/precollege/about/undergraduate-major</w:t>
        </w:r>
      </w:hyperlink>
      <w:r w:rsidR="001A5F8C" w:rsidRPr="00492CCC">
        <w:rPr>
          <w:rFonts w:cstheme="minorHAnsi"/>
          <w:color w:val="231F20"/>
        </w:rPr>
        <w:t xml:space="preserve"> </w:t>
      </w:r>
    </w:p>
    <w:p w14:paraId="40E3F9C2" w14:textId="6F36EE08" w:rsidR="00124A6F" w:rsidRPr="00492CCC" w:rsidRDefault="00124A6F" w:rsidP="00773B36">
      <w:pPr>
        <w:ind w:left="720" w:hanging="720"/>
        <w:mirrorIndents/>
        <w:rPr>
          <w:rFonts w:cstheme="minorHAnsi"/>
        </w:rPr>
      </w:pPr>
      <w:bookmarkStart w:id="4" w:name="_bookmark10"/>
      <w:bookmarkEnd w:id="4"/>
      <w:r w:rsidRPr="00492CCC">
        <w:rPr>
          <w:rFonts w:cstheme="minorHAnsi"/>
          <w:color w:val="231F20"/>
        </w:rPr>
        <w:t xml:space="preserve">Arnold, H. J., &amp; Feldman, D. C. (1981). Social </w:t>
      </w:r>
      <w:bookmarkStart w:id="5" w:name="_bookmark8"/>
      <w:bookmarkEnd w:id="5"/>
      <w:r w:rsidRPr="00492CCC">
        <w:rPr>
          <w:rFonts w:cstheme="minorHAnsi"/>
          <w:color w:val="231F20"/>
        </w:rPr>
        <w:t xml:space="preserve">desirability response bias in self-report choice situations. </w:t>
      </w:r>
      <w:r w:rsidRPr="00492CCC">
        <w:rPr>
          <w:rFonts w:cstheme="minorHAnsi"/>
          <w:i/>
          <w:color w:val="231F20"/>
        </w:rPr>
        <w:t>Academy of Management Journal</w:t>
      </w:r>
      <w:r w:rsidR="00AA3846" w:rsidRPr="00492CCC">
        <w:rPr>
          <w:rFonts w:cstheme="minorHAnsi"/>
          <w:color w:val="231F20"/>
        </w:rPr>
        <w:t>,</w:t>
      </w:r>
      <w:r w:rsidRPr="00492CCC">
        <w:rPr>
          <w:rFonts w:cstheme="minorHAnsi"/>
          <w:i/>
          <w:color w:val="231F20"/>
        </w:rPr>
        <w:t xml:space="preserve"> 24</w:t>
      </w:r>
      <w:r w:rsidR="00AA3846" w:rsidRPr="00492CCC">
        <w:rPr>
          <w:rFonts w:cstheme="minorHAnsi"/>
          <w:iCs/>
          <w:color w:val="231F20"/>
        </w:rPr>
        <w:t>(2)</w:t>
      </w:r>
      <w:r w:rsidR="00AA3846" w:rsidRPr="00492CCC">
        <w:rPr>
          <w:rFonts w:cstheme="minorHAnsi"/>
          <w:color w:val="231F20"/>
        </w:rPr>
        <w:t>,</w:t>
      </w:r>
      <w:r w:rsidRPr="00492CCC">
        <w:rPr>
          <w:rFonts w:cstheme="minorHAnsi"/>
          <w:i/>
          <w:color w:val="231F20"/>
        </w:rPr>
        <w:t xml:space="preserve"> </w:t>
      </w:r>
      <w:r w:rsidRPr="00492CCC">
        <w:rPr>
          <w:rFonts w:cstheme="minorHAnsi"/>
          <w:color w:val="231F20"/>
        </w:rPr>
        <w:t>377–</w:t>
      </w:r>
      <w:bookmarkStart w:id="6" w:name="_bookmark9"/>
      <w:bookmarkEnd w:id="6"/>
      <w:r w:rsidRPr="00492CCC">
        <w:rPr>
          <w:rFonts w:cstheme="minorHAnsi"/>
          <w:color w:val="231F20"/>
        </w:rPr>
        <w:t>385.</w:t>
      </w:r>
      <w:r w:rsidR="007175AF" w:rsidRPr="00492CCC">
        <w:rPr>
          <w:rFonts w:cstheme="minorHAnsi"/>
          <w:color w:val="231F20"/>
        </w:rPr>
        <w:t xml:space="preserve"> </w:t>
      </w:r>
      <w:hyperlink r:id="rId16" w:history="1">
        <w:r w:rsidR="007175AF" w:rsidRPr="00492CCC">
          <w:rPr>
            <w:rStyle w:val="Hyperlink"/>
            <w:rFonts w:cstheme="minorHAnsi"/>
          </w:rPr>
          <w:t>https://doi.org/10.5465/255848</w:t>
        </w:r>
      </w:hyperlink>
    </w:p>
    <w:p w14:paraId="4866C568" w14:textId="62C3EEE1" w:rsidR="00DC077B" w:rsidRPr="00492CCC" w:rsidRDefault="00124A6F" w:rsidP="00773B36">
      <w:pPr>
        <w:ind w:left="720" w:hanging="720"/>
        <w:mirrorIndents/>
        <w:rPr>
          <w:rFonts w:cstheme="minorHAnsi"/>
          <w:color w:val="231F20"/>
        </w:rPr>
      </w:pPr>
      <w:r w:rsidRPr="00492CCC">
        <w:rPr>
          <w:rFonts w:cstheme="minorHAnsi"/>
          <w:color w:val="231F20"/>
        </w:rPr>
        <w:t xml:space="preserve">Bauer, H. M., </w:t>
      </w:r>
      <w:proofErr w:type="spellStart"/>
      <w:r w:rsidRPr="00492CCC">
        <w:rPr>
          <w:rFonts w:cstheme="minorHAnsi"/>
          <w:color w:val="231F20"/>
        </w:rPr>
        <w:t>Glantsman</w:t>
      </w:r>
      <w:proofErr w:type="spellEnd"/>
      <w:r w:rsidRPr="00492CCC">
        <w:rPr>
          <w:rFonts w:cstheme="minorHAnsi"/>
          <w:color w:val="231F20"/>
        </w:rPr>
        <w:t xml:space="preserve">, O., Hochberg, L., Turner, C., &amp; Jason, L. A. (2017). Community </w:t>
      </w:r>
      <w:bookmarkStart w:id="7" w:name="_bookmark12"/>
      <w:bookmarkEnd w:id="7"/>
      <w:r w:rsidRPr="00492CCC">
        <w:rPr>
          <w:rFonts w:cstheme="minorHAnsi"/>
          <w:color w:val="231F20"/>
        </w:rPr>
        <w:t xml:space="preserve">psychology coverage in Introduction to Psychology textbooks. </w:t>
      </w:r>
      <w:r w:rsidRPr="00492CCC">
        <w:rPr>
          <w:rFonts w:cstheme="minorHAnsi"/>
          <w:i/>
          <w:color w:val="231F20"/>
        </w:rPr>
        <w:t xml:space="preserve">Global Journal of Community Psychology </w:t>
      </w:r>
      <w:bookmarkStart w:id="8" w:name="_bookmark11"/>
      <w:bookmarkEnd w:id="8"/>
      <w:r w:rsidRPr="00492CCC">
        <w:rPr>
          <w:rFonts w:cstheme="minorHAnsi"/>
          <w:i/>
          <w:color w:val="231F20"/>
        </w:rPr>
        <w:t>Prac</w:t>
      </w:r>
      <w:bookmarkStart w:id="9" w:name="_bookmark13"/>
      <w:bookmarkEnd w:id="9"/>
      <w:r w:rsidRPr="00492CCC">
        <w:rPr>
          <w:rFonts w:cstheme="minorHAnsi"/>
          <w:i/>
          <w:color w:val="231F20"/>
        </w:rPr>
        <w:t>tice</w:t>
      </w:r>
      <w:r w:rsidR="00AA3846" w:rsidRPr="00492CCC">
        <w:rPr>
          <w:rFonts w:cstheme="minorHAnsi"/>
          <w:color w:val="231F20"/>
        </w:rPr>
        <w:t>,</w:t>
      </w:r>
      <w:r w:rsidRPr="00492CCC">
        <w:rPr>
          <w:rFonts w:cstheme="minorHAnsi"/>
          <w:i/>
          <w:color w:val="231F20"/>
        </w:rPr>
        <w:t xml:space="preserve"> 8</w:t>
      </w:r>
      <w:r w:rsidR="00AA3846" w:rsidRPr="00492CCC">
        <w:rPr>
          <w:rFonts w:cstheme="minorHAnsi"/>
          <w:iCs/>
          <w:color w:val="231F20"/>
        </w:rPr>
        <w:t>(3)</w:t>
      </w:r>
      <w:r w:rsidR="00AA3846" w:rsidRPr="00492CCC">
        <w:rPr>
          <w:rFonts w:cstheme="minorHAnsi"/>
          <w:color w:val="231F20"/>
        </w:rPr>
        <w:t>,</w:t>
      </w:r>
      <w:r w:rsidRPr="00492CCC">
        <w:rPr>
          <w:rFonts w:cstheme="minorHAnsi"/>
          <w:i/>
          <w:color w:val="231F20"/>
        </w:rPr>
        <w:t xml:space="preserve"> </w:t>
      </w:r>
      <w:r w:rsidRPr="00492CCC">
        <w:rPr>
          <w:rFonts w:cstheme="minorHAnsi"/>
          <w:color w:val="231F20"/>
        </w:rPr>
        <w:t xml:space="preserve">1–11. </w:t>
      </w:r>
      <w:hyperlink r:id="rId17" w:history="1">
        <w:r w:rsidR="00AA3846" w:rsidRPr="00492CCC">
          <w:rPr>
            <w:rStyle w:val="Hyperlink"/>
          </w:rPr>
          <w:t>https://www.gjcpp.org/pdfs/BauerEtAl_Final.pdf</w:t>
        </w:r>
      </w:hyperlink>
      <w:r w:rsidR="00AA3846" w:rsidRPr="00492CCC">
        <w:t xml:space="preserve"> </w:t>
      </w:r>
    </w:p>
    <w:p w14:paraId="3B770EDD" w14:textId="1F5DFF66" w:rsidR="00124A6F" w:rsidRPr="00492CCC" w:rsidRDefault="00124A6F" w:rsidP="00773B36">
      <w:pPr>
        <w:ind w:left="720" w:hanging="720"/>
        <w:mirrorIndents/>
        <w:rPr>
          <w:rFonts w:cstheme="minorHAnsi"/>
        </w:rPr>
      </w:pPr>
      <w:proofErr w:type="spellStart"/>
      <w:r w:rsidRPr="00492CCC">
        <w:rPr>
          <w:rFonts w:cstheme="minorHAnsi"/>
          <w:color w:val="231F20"/>
        </w:rPr>
        <w:t>Bazeley</w:t>
      </w:r>
      <w:proofErr w:type="spellEnd"/>
      <w:r w:rsidRPr="00492CCC">
        <w:rPr>
          <w:rFonts w:cstheme="minorHAnsi"/>
          <w:color w:val="231F20"/>
        </w:rPr>
        <w:t xml:space="preserve">, P., &amp; Jackson, K. (2013). </w:t>
      </w:r>
      <w:r w:rsidRPr="00492CCC">
        <w:rPr>
          <w:rFonts w:cstheme="minorHAnsi"/>
          <w:i/>
          <w:color w:val="231F20"/>
        </w:rPr>
        <w:t xml:space="preserve">Qualitative data analysis with NVivo </w:t>
      </w:r>
      <w:r w:rsidRPr="00492CCC">
        <w:rPr>
          <w:rFonts w:cstheme="minorHAnsi"/>
          <w:color w:val="231F20"/>
        </w:rPr>
        <w:t xml:space="preserve">(2nd ed.). </w:t>
      </w:r>
      <w:r w:rsidR="00AA3846" w:rsidRPr="00492CCC">
        <w:rPr>
          <w:rFonts w:cstheme="minorHAnsi"/>
          <w:color w:val="231F20"/>
        </w:rPr>
        <w:t>SAGE Publications</w:t>
      </w:r>
      <w:r w:rsidRPr="00492CCC">
        <w:rPr>
          <w:rFonts w:cstheme="minorHAnsi"/>
          <w:color w:val="231F20"/>
        </w:rPr>
        <w:t>.</w:t>
      </w:r>
    </w:p>
    <w:p w14:paraId="57223F40" w14:textId="41A21BE2" w:rsidR="00124A6F" w:rsidRPr="00492CCC" w:rsidRDefault="00124A6F" w:rsidP="00773B36">
      <w:pPr>
        <w:ind w:left="720" w:hanging="720"/>
        <w:mirrorIndents/>
        <w:rPr>
          <w:rFonts w:cstheme="minorHAnsi"/>
        </w:rPr>
      </w:pPr>
      <w:r w:rsidRPr="00492CCC">
        <w:rPr>
          <w:rFonts w:cstheme="minorHAnsi"/>
          <w:color w:val="231F20"/>
        </w:rPr>
        <w:t xml:space="preserve">Betancourt, H., Hardin, C., &amp; Manzi, J. (1992). </w:t>
      </w:r>
      <w:bookmarkStart w:id="10" w:name="_bookmark15"/>
      <w:bookmarkEnd w:id="10"/>
      <w:r w:rsidRPr="00492CCC">
        <w:rPr>
          <w:rFonts w:cstheme="minorHAnsi"/>
          <w:color w:val="231F20"/>
        </w:rPr>
        <w:t xml:space="preserve">Beliefs, value orientation, and culture in attribution processes and helping behavior. </w:t>
      </w:r>
      <w:r w:rsidRPr="00492CCC">
        <w:rPr>
          <w:rFonts w:cstheme="minorHAnsi"/>
          <w:i/>
          <w:color w:val="231F20"/>
        </w:rPr>
        <w:t>Journal of Cross-Cultural Psychology</w:t>
      </w:r>
      <w:r w:rsidRPr="00492CCC">
        <w:rPr>
          <w:rFonts w:cstheme="minorHAnsi"/>
          <w:iCs/>
          <w:color w:val="231F20"/>
        </w:rPr>
        <w:t>,</w:t>
      </w:r>
      <w:r w:rsidRPr="00492CCC">
        <w:rPr>
          <w:rFonts w:cstheme="minorHAnsi"/>
          <w:i/>
          <w:color w:val="231F20"/>
        </w:rPr>
        <w:t xml:space="preserve"> 23</w:t>
      </w:r>
      <w:r w:rsidR="007175AF" w:rsidRPr="00492CCC">
        <w:rPr>
          <w:rFonts w:cstheme="minorHAnsi"/>
          <w:iCs/>
          <w:color w:val="231F20"/>
        </w:rPr>
        <w:t>(2)</w:t>
      </w:r>
      <w:r w:rsidRPr="00492CCC">
        <w:rPr>
          <w:rFonts w:cstheme="minorHAnsi"/>
          <w:iCs/>
          <w:color w:val="231F20"/>
        </w:rPr>
        <w:t>,</w:t>
      </w:r>
      <w:r w:rsidRPr="00492CCC">
        <w:rPr>
          <w:rFonts w:cstheme="minorHAnsi"/>
          <w:i/>
          <w:color w:val="231F20"/>
        </w:rPr>
        <w:t xml:space="preserve"> </w:t>
      </w:r>
      <w:r w:rsidRPr="00492CCC">
        <w:rPr>
          <w:rFonts w:cstheme="minorHAnsi"/>
          <w:color w:val="231F20"/>
        </w:rPr>
        <w:t xml:space="preserve">179–195. </w:t>
      </w:r>
      <w:hyperlink r:id="rId18" w:history="1">
        <w:r w:rsidR="001A5F8C" w:rsidRPr="00492CCC">
          <w:rPr>
            <w:rStyle w:val="Hyperlink"/>
          </w:rPr>
          <w:t>https://doi.org/10.1177/0022022192232004</w:t>
        </w:r>
      </w:hyperlink>
      <w:r w:rsidR="001A5F8C" w:rsidRPr="00492CCC">
        <w:t xml:space="preserve"> </w:t>
      </w:r>
    </w:p>
    <w:p w14:paraId="57E1610D" w14:textId="22CD85D0" w:rsidR="00124A6F" w:rsidRPr="00492CCC" w:rsidRDefault="00124A6F" w:rsidP="00773B36">
      <w:pPr>
        <w:ind w:left="720" w:hanging="720"/>
        <w:mirrorIndents/>
        <w:rPr>
          <w:rFonts w:cstheme="minorHAnsi"/>
        </w:rPr>
      </w:pPr>
      <w:r w:rsidRPr="00492CCC">
        <w:rPr>
          <w:rFonts w:cstheme="minorHAnsi"/>
          <w:color w:val="231F20"/>
        </w:rPr>
        <w:t xml:space="preserve">Brennan, J., &amp; Naidoo, R. (2008). Higher </w:t>
      </w:r>
      <w:bookmarkStart w:id="11" w:name="_bookmark17"/>
      <w:bookmarkEnd w:id="11"/>
      <w:r w:rsidRPr="00492CCC">
        <w:rPr>
          <w:rFonts w:cstheme="minorHAnsi"/>
          <w:color w:val="231F20"/>
        </w:rPr>
        <w:t xml:space="preserve">education and the achievement (and/or prevention) of equity and social justice. </w:t>
      </w:r>
      <w:r w:rsidRPr="00492CCC">
        <w:rPr>
          <w:rFonts w:cstheme="minorHAnsi"/>
          <w:i/>
          <w:color w:val="231F20"/>
        </w:rPr>
        <w:t>Higher Education</w:t>
      </w:r>
      <w:r w:rsidRPr="00492CCC">
        <w:rPr>
          <w:rFonts w:cstheme="minorHAnsi"/>
          <w:iCs/>
          <w:color w:val="231F20"/>
        </w:rPr>
        <w:t>,</w:t>
      </w:r>
      <w:r w:rsidRPr="00492CCC">
        <w:rPr>
          <w:rFonts w:cstheme="minorHAnsi"/>
          <w:i/>
          <w:color w:val="231F20"/>
        </w:rPr>
        <w:t xml:space="preserve"> 56</w:t>
      </w:r>
      <w:r w:rsidRPr="00492CCC">
        <w:rPr>
          <w:rFonts w:cstheme="minorHAnsi"/>
          <w:iCs/>
          <w:color w:val="231F20"/>
        </w:rPr>
        <w:t>,</w:t>
      </w:r>
      <w:r w:rsidRPr="00492CCC">
        <w:rPr>
          <w:rFonts w:cstheme="minorHAnsi"/>
          <w:i/>
          <w:color w:val="231F20"/>
        </w:rPr>
        <w:t xml:space="preserve"> </w:t>
      </w:r>
      <w:r w:rsidRPr="00492CCC">
        <w:rPr>
          <w:rFonts w:cstheme="minorHAnsi"/>
          <w:color w:val="231F20"/>
        </w:rPr>
        <w:t>287–302.</w:t>
      </w:r>
      <w:bookmarkStart w:id="12" w:name="_bookmark18"/>
      <w:bookmarkEnd w:id="12"/>
      <w:r w:rsidRPr="00492CCC">
        <w:rPr>
          <w:rFonts w:cstheme="minorHAnsi"/>
          <w:color w:val="231F20"/>
        </w:rPr>
        <w:t xml:space="preserve"> </w:t>
      </w:r>
      <w:hyperlink r:id="rId19">
        <w:r w:rsidR="007175AF" w:rsidRPr="00492CCC">
          <w:rPr>
            <w:rStyle w:val="Hyperlink"/>
          </w:rPr>
          <w:t>https://doi.org/10.1007/s10734-008-9127-3</w:t>
        </w:r>
      </w:hyperlink>
    </w:p>
    <w:p w14:paraId="7C5511A7" w14:textId="44E3D133" w:rsidR="00124A6F" w:rsidRPr="00492CCC" w:rsidRDefault="00124A6F" w:rsidP="00773B36">
      <w:pPr>
        <w:ind w:left="720" w:hanging="720"/>
        <w:mirrorIndents/>
        <w:rPr>
          <w:rFonts w:cstheme="minorHAnsi"/>
        </w:rPr>
      </w:pPr>
      <w:r w:rsidRPr="00492CCC">
        <w:rPr>
          <w:rFonts w:cstheme="minorHAnsi"/>
          <w:color w:val="231F20"/>
        </w:rPr>
        <w:t>Bringle, R. G., &amp; Steinberg, K. (2010). Educating for informed community involvement.</w:t>
      </w:r>
      <w:bookmarkStart w:id="13" w:name="_bookmark19"/>
      <w:bookmarkEnd w:id="13"/>
      <w:r w:rsidRPr="00492CCC">
        <w:rPr>
          <w:rFonts w:cstheme="minorHAnsi"/>
          <w:color w:val="231F20"/>
        </w:rPr>
        <w:t xml:space="preserve"> </w:t>
      </w:r>
      <w:r w:rsidRPr="00492CCC">
        <w:rPr>
          <w:rFonts w:cstheme="minorHAnsi"/>
          <w:i/>
          <w:color w:val="231F20"/>
        </w:rPr>
        <w:t>American Journal of Community Psychology</w:t>
      </w:r>
      <w:r w:rsidRPr="00492CCC">
        <w:rPr>
          <w:rFonts w:cstheme="minorHAnsi"/>
          <w:iCs/>
          <w:color w:val="231F20"/>
        </w:rPr>
        <w:t xml:space="preserve">, </w:t>
      </w:r>
      <w:r w:rsidRPr="00492CCC">
        <w:rPr>
          <w:rFonts w:cstheme="minorHAnsi"/>
          <w:i/>
          <w:color w:val="231F20"/>
        </w:rPr>
        <w:t>46</w:t>
      </w:r>
      <w:r w:rsidR="007175AF" w:rsidRPr="00492CCC">
        <w:rPr>
          <w:rFonts w:cstheme="minorHAnsi"/>
          <w:iCs/>
          <w:color w:val="231F20"/>
        </w:rPr>
        <w:t>(3</w:t>
      </w:r>
      <w:r w:rsidR="00AA3846" w:rsidRPr="00492CCC">
        <w:rPr>
          <w:rFonts w:cstheme="minorHAnsi"/>
          <w:color w:val="231F20"/>
        </w:rPr>
        <w:t>–</w:t>
      </w:r>
      <w:r w:rsidR="007175AF" w:rsidRPr="00492CCC">
        <w:rPr>
          <w:rFonts w:cstheme="minorHAnsi"/>
          <w:iCs/>
          <w:color w:val="231F20"/>
        </w:rPr>
        <w:t>4)</w:t>
      </w:r>
      <w:r w:rsidRPr="00492CCC">
        <w:rPr>
          <w:rFonts w:cstheme="minorHAnsi"/>
          <w:iCs/>
          <w:color w:val="231F20"/>
        </w:rPr>
        <w:t>,</w:t>
      </w:r>
      <w:r w:rsidRPr="00492CCC">
        <w:rPr>
          <w:rFonts w:cstheme="minorHAnsi"/>
          <w:i/>
          <w:color w:val="231F20"/>
        </w:rPr>
        <w:t xml:space="preserve"> </w:t>
      </w:r>
      <w:r w:rsidRPr="00492CCC">
        <w:rPr>
          <w:rFonts w:cstheme="minorHAnsi"/>
          <w:color w:val="231F20"/>
        </w:rPr>
        <w:t>428–441.</w:t>
      </w:r>
      <w:bookmarkStart w:id="14" w:name="_bookmark20"/>
      <w:bookmarkEnd w:id="14"/>
      <w:r w:rsidRPr="00492CCC">
        <w:rPr>
          <w:rFonts w:cstheme="minorHAnsi"/>
          <w:color w:val="231F20"/>
        </w:rPr>
        <w:t xml:space="preserve"> </w:t>
      </w:r>
      <w:hyperlink r:id="rId20">
        <w:r w:rsidR="007175AF" w:rsidRPr="00492CCC">
          <w:rPr>
            <w:rStyle w:val="Hyperlink"/>
            <w:rFonts w:cstheme="minorHAnsi"/>
          </w:rPr>
          <w:t>https://doi.org/10.1007/s10464-010-9340-y</w:t>
        </w:r>
      </w:hyperlink>
    </w:p>
    <w:p w14:paraId="66931D04" w14:textId="5A220A94" w:rsidR="00124A6F" w:rsidRPr="00492CCC" w:rsidRDefault="00124A6F" w:rsidP="00773B36">
      <w:pPr>
        <w:ind w:left="720" w:hanging="720"/>
        <w:mirrorIndents/>
        <w:rPr>
          <w:rFonts w:cstheme="minorHAnsi"/>
        </w:rPr>
      </w:pPr>
      <w:r w:rsidRPr="00492CCC">
        <w:rPr>
          <w:rFonts w:cstheme="minorHAnsi"/>
          <w:color w:val="231F20"/>
        </w:rPr>
        <w:lastRenderedPageBreak/>
        <w:t xml:space="preserve">Caldwell, J. C., &amp; Vera, E. M. (2010). Critical incidents in counseling psychology professionals’ and trainees’ social justice orientation development. </w:t>
      </w:r>
      <w:r w:rsidRPr="00492CCC">
        <w:rPr>
          <w:rFonts w:cstheme="minorHAnsi"/>
          <w:i/>
          <w:color w:val="231F20"/>
        </w:rPr>
        <w:t xml:space="preserve">Training and Education in Professional </w:t>
      </w:r>
      <w:bookmarkStart w:id="15" w:name="_bookmark21"/>
      <w:bookmarkEnd w:id="15"/>
      <w:r w:rsidRPr="00492CCC">
        <w:rPr>
          <w:rFonts w:cstheme="minorHAnsi"/>
          <w:i/>
          <w:color w:val="231F20"/>
        </w:rPr>
        <w:t>Psychology</w:t>
      </w:r>
      <w:r w:rsidR="00AA3846" w:rsidRPr="00492CCC">
        <w:rPr>
          <w:rFonts w:cstheme="minorHAnsi"/>
          <w:color w:val="231F20"/>
        </w:rPr>
        <w:t>,</w:t>
      </w:r>
      <w:r w:rsidRPr="00492CCC">
        <w:rPr>
          <w:rFonts w:cstheme="minorHAnsi"/>
          <w:i/>
          <w:color w:val="231F20"/>
        </w:rPr>
        <w:t xml:space="preserve"> 4</w:t>
      </w:r>
      <w:r w:rsidR="00AA3846" w:rsidRPr="00492CCC">
        <w:rPr>
          <w:rFonts w:cstheme="minorHAnsi"/>
          <w:iCs/>
          <w:color w:val="231F20"/>
        </w:rPr>
        <w:t>(3)</w:t>
      </w:r>
      <w:r w:rsidR="00AA3846" w:rsidRPr="00492CCC">
        <w:rPr>
          <w:rFonts w:cstheme="minorHAnsi"/>
          <w:color w:val="231F20"/>
        </w:rPr>
        <w:t>,</w:t>
      </w:r>
      <w:r w:rsidRPr="00492CCC">
        <w:rPr>
          <w:rFonts w:cstheme="minorHAnsi"/>
          <w:i/>
          <w:color w:val="231F20"/>
        </w:rPr>
        <w:t xml:space="preserve"> </w:t>
      </w:r>
      <w:r w:rsidRPr="00492CCC">
        <w:rPr>
          <w:rFonts w:cstheme="minorHAnsi"/>
          <w:color w:val="231F20"/>
        </w:rPr>
        <w:t xml:space="preserve">163–176. </w:t>
      </w:r>
      <w:hyperlink r:id="rId21" w:history="1">
        <w:r w:rsidR="00AA3846" w:rsidRPr="00492CCC">
          <w:rPr>
            <w:rStyle w:val="Hyperlink"/>
            <w:rFonts w:cstheme="minorHAnsi"/>
          </w:rPr>
          <w:t>https://doi.org/10.1037/a0019093</w:t>
        </w:r>
      </w:hyperlink>
      <w:r w:rsidR="00AA3846" w:rsidRPr="00492CCC">
        <w:rPr>
          <w:rFonts w:cstheme="minorHAnsi"/>
          <w:color w:val="231F20"/>
        </w:rPr>
        <w:t xml:space="preserve"> </w:t>
      </w:r>
    </w:p>
    <w:p w14:paraId="34CD0B47" w14:textId="24BCF39C" w:rsidR="00124A6F" w:rsidRPr="00492CCC" w:rsidRDefault="00124A6F" w:rsidP="00773B36">
      <w:pPr>
        <w:ind w:left="720" w:hanging="720"/>
        <w:mirrorIndents/>
        <w:rPr>
          <w:rFonts w:cstheme="minorHAnsi"/>
        </w:rPr>
      </w:pPr>
      <w:r w:rsidRPr="00492CCC">
        <w:rPr>
          <w:rFonts w:cstheme="minorHAnsi"/>
          <w:color w:val="231F20"/>
        </w:rPr>
        <w:t xml:space="preserve">Carmony, T. M., Lock, T. L., Crabtree, A. K., </w:t>
      </w:r>
      <w:bookmarkStart w:id="16" w:name="_bookmark23"/>
      <w:bookmarkEnd w:id="16"/>
      <w:r w:rsidRPr="00492CCC">
        <w:rPr>
          <w:rFonts w:cstheme="minorHAnsi"/>
          <w:color w:val="231F20"/>
        </w:rPr>
        <w:t xml:space="preserve">Keller, J., Szeto, A., </w:t>
      </w:r>
      <w:proofErr w:type="spellStart"/>
      <w:r w:rsidRPr="00492CCC">
        <w:rPr>
          <w:rFonts w:cstheme="minorHAnsi"/>
          <w:color w:val="231F20"/>
        </w:rPr>
        <w:t>Yanasak</w:t>
      </w:r>
      <w:proofErr w:type="spellEnd"/>
      <w:r w:rsidRPr="00492CCC">
        <w:rPr>
          <w:rFonts w:cstheme="minorHAnsi"/>
          <w:color w:val="231F20"/>
        </w:rPr>
        <w:t xml:space="preserve">, B., &amp; Moritsugu, J. N. (2000). Teaching community psychology: A brief review of undergraduate courses. </w:t>
      </w:r>
      <w:r w:rsidRPr="00492CCC">
        <w:rPr>
          <w:rFonts w:cstheme="minorHAnsi"/>
          <w:i/>
          <w:color w:val="231F20"/>
        </w:rPr>
        <w:t>Teaching of Psy</w:t>
      </w:r>
      <w:bookmarkStart w:id="17" w:name="_bookmark24"/>
      <w:bookmarkEnd w:id="17"/>
      <w:r w:rsidRPr="00492CCC">
        <w:rPr>
          <w:rFonts w:cstheme="minorHAnsi"/>
          <w:i/>
          <w:color w:val="231F20"/>
        </w:rPr>
        <w:t>chology</w:t>
      </w:r>
      <w:r w:rsidRPr="00492CCC">
        <w:rPr>
          <w:rFonts w:cstheme="minorHAnsi"/>
          <w:iCs/>
          <w:color w:val="231F20"/>
        </w:rPr>
        <w:t>,</w:t>
      </w:r>
      <w:r w:rsidRPr="00492CCC">
        <w:rPr>
          <w:rFonts w:cstheme="minorHAnsi"/>
          <w:i/>
          <w:color w:val="231F20"/>
        </w:rPr>
        <w:t xml:space="preserve"> 27</w:t>
      </w:r>
      <w:r w:rsidR="000A356D" w:rsidRPr="00492CCC">
        <w:rPr>
          <w:rFonts w:cstheme="minorHAnsi"/>
          <w:iCs/>
          <w:color w:val="231F20"/>
        </w:rPr>
        <w:t>(3)</w:t>
      </w:r>
      <w:r w:rsidRPr="00492CCC">
        <w:rPr>
          <w:rFonts w:cstheme="minorHAnsi"/>
          <w:iCs/>
          <w:color w:val="231F20"/>
        </w:rPr>
        <w:t>,</w:t>
      </w:r>
      <w:r w:rsidRPr="00492CCC">
        <w:rPr>
          <w:rFonts w:cstheme="minorHAnsi"/>
          <w:i/>
          <w:color w:val="231F20"/>
        </w:rPr>
        <w:t xml:space="preserve"> </w:t>
      </w:r>
      <w:r w:rsidRPr="00492CCC">
        <w:rPr>
          <w:rFonts w:cstheme="minorHAnsi"/>
          <w:color w:val="231F20"/>
        </w:rPr>
        <w:t>214–216.</w:t>
      </w:r>
      <w:r w:rsidR="005935D6" w:rsidRPr="00492CCC">
        <w:rPr>
          <w:rFonts w:cstheme="minorHAnsi"/>
          <w:color w:val="231F20"/>
        </w:rPr>
        <w:t xml:space="preserve"> </w:t>
      </w:r>
      <w:hyperlink r:id="rId22" w:history="1">
        <w:r w:rsidR="005935D6" w:rsidRPr="00492CCC">
          <w:rPr>
            <w:rStyle w:val="Hyperlink"/>
          </w:rPr>
          <w:t>https://eric.ed.gov/?id=EJ625613</w:t>
        </w:r>
      </w:hyperlink>
    </w:p>
    <w:p w14:paraId="7B01BCE4" w14:textId="5E121447" w:rsidR="00124A6F" w:rsidRPr="00492CCC" w:rsidRDefault="00124A6F" w:rsidP="00773B36">
      <w:pPr>
        <w:ind w:left="720" w:hanging="720"/>
        <w:mirrorIndents/>
        <w:rPr>
          <w:rFonts w:cstheme="minorHAnsi"/>
        </w:rPr>
      </w:pPr>
      <w:r w:rsidRPr="00492CCC">
        <w:rPr>
          <w:rFonts w:cstheme="minorHAnsi"/>
          <w:color w:val="231F20"/>
        </w:rPr>
        <w:t>Cattaneo, L. B., Shor, R., Calton, J. M., Gebhard,</w:t>
      </w:r>
      <w:r w:rsidR="00303324" w:rsidRPr="00492CCC">
        <w:rPr>
          <w:rFonts w:cstheme="minorHAnsi"/>
          <w:color w:val="231F20"/>
        </w:rPr>
        <w:t xml:space="preserve"> </w:t>
      </w:r>
      <w:r w:rsidRPr="00492CCC">
        <w:rPr>
          <w:rFonts w:cstheme="minorHAnsi"/>
          <w:color w:val="231F20"/>
        </w:rPr>
        <w:t xml:space="preserve">K. T., </w:t>
      </w:r>
      <w:proofErr w:type="spellStart"/>
      <w:r w:rsidRPr="00492CCC">
        <w:rPr>
          <w:rFonts w:cstheme="minorHAnsi"/>
          <w:color w:val="231F20"/>
        </w:rPr>
        <w:t>Buchwach</w:t>
      </w:r>
      <w:proofErr w:type="spellEnd"/>
      <w:r w:rsidRPr="00492CCC">
        <w:rPr>
          <w:rFonts w:cstheme="minorHAnsi"/>
          <w:color w:val="231F20"/>
        </w:rPr>
        <w:t xml:space="preserve">, S. Y., </w:t>
      </w:r>
      <w:proofErr w:type="spellStart"/>
      <w:r w:rsidRPr="00492CCC">
        <w:rPr>
          <w:rFonts w:cstheme="minorHAnsi"/>
          <w:color w:val="231F20"/>
        </w:rPr>
        <w:t>Elshabassi</w:t>
      </w:r>
      <w:proofErr w:type="spellEnd"/>
      <w:r w:rsidRPr="00492CCC">
        <w:rPr>
          <w:rFonts w:cstheme="minorHAnsi"/>
          <w:color w:val="231F20"/>
        </w:rPr>
        <w:t xml:space="preserve">, N., &amp; </w:t>
      </w:r>
      <w:bookmarkStart w:id="18" w:name="_bookmark25"/>
      <w:bookmarkEnd w:id="18"/>
      <w:r w:rsidRPr="00492CCC">
        <w:rPr>
          <w:rFonts w:cstheme="minorHAnsi"/>
          <w:color w:val="231F20"/>
        </w:rPr>
        <w:t xml:space="preserve">Hargrove, S. (2019). Social problems are social: Empirical evidence and reflections on integrating community psychology into traditional curriculum. </w:t>
      </w:r>
      <w:r w:rsidRPr="00492CCC">
        <w:rPr>
          <w:rFonts w:cstheme="minorHAnsi"/>
          <w:i/>
          <w:color w:val="231F20"/>
        </w:rPr>
        <w:t>Global Journal of Community Psychology</w:t>
      </w:r>
      <w:bookmarkStart w:id="19" w:name="_bookmark26"/>
      <w:bookmarkEnd w:id="19"/>
      <w:r w:rsidRPr="00492CCC">
        <w:rPr>
          <w:rFonts w:cstheme="minorHAnsi"/>
          <w:i/>
          <w:color w:val="231F20"/>
        </w:rPr>
        <w:t xml:space="preserve"> Practice</w:t>
      </w:r>
      <w:r w:rsidRPr="00492CCC">
        <w:rPr>
          <w:rFonts w:cstheme="minorHAnsi"/>
          <w:iCs/>
          <w:color w:val="231F20"/>
        </w:rPr>
        <w:t>,</w:t>
      </w:r>
      <w:r w:rsidRPr="00492CCC">
        <w:rPr>
          <w:rFonts w:cstheme="minorHAnsi"/>
          <w:i/>
          <w:color w:val="231F20"/>
        </w:rPr>
        <w:t xml:space="preserve"> 10</w:t>
      </w:r>
      <w:r w:rsidR="005935D6" w:rsidRPr="00492CCC">
        <w:rPr>
          <w:rFonts w:cstheme="minorHAnsi"/>
          <w:iCs/>
          <w:color w:val="231F20"/>
        </w:rPr>
        <w:t>(1)</w:t>
      </w:r>
      <w:r w:rsidRPr="00492CCC">
        <w:rPr>
          <w:rFonts w:cstheme="minorHAnsi"/>
          <w:iCs/>
          <w:color w:val="231F20"/>
        </w:rPr>
        <w:t>,</w:t>
      </w:r>
      <w:r w:rsidRPr="00492CCC">
        <w:rPr>
          <w:rFonts w:cstheme="minorHAnsi"/>
          <w:i/>
          <w:color w:val="231F20"/>
        </w:rPr>
        <w:t xml:space="preserve"> </w:t>
      </w:r>
      <w:r w:rsidR="005935D6" w:rsidRPr="00492CCC">
        <w:rPr>
          <w:rFonts w:cstheme="minorHAnsi"/>
          <w:iCs/>
          <w:color w:val="231F20"/>
        </w:rPr>
        <w:t>1</w:t>
      </w:r>
      <w:r w:rsidR="005935D6" w:rsidRPr="00492CCC">
        <w:rPr>
          <w:rFonts w:cstheme="minorHAnsi"/>
          <w:color w:val="231F20"/>
        </w:rPr>
        <w:t>–29</w:t>
      </w:r>
      <w:r w:rsidRPr="00492CCC">
        <w:rPr>
          <w:rFonts w:cstheme="minorHAnsi"/>
          <w:color w:val="231F20"/>
        </w:rPr>
        <w:t>.</w:t>
      </w:r>
      <w:r w:rsidR="005935D6" w:rsidRPr="00492CCC">
        <w:rPr>
          <w:rFonts w:cstheme="minorHAnsi"/>
          <w:color w:val="231F20"/>
        </w:rPr>
        <w:t xml:space="preserve"> </w:t>
      </w:r>
      <w:hyperlink r:id="rId23" w:history="1">
        <w:r w:rsidR="005935D6" w:rsidRPr="00492CCC">
          <w:rPr>
            <w:rStyle w:val="Hyperlink"/>
          </w:rPr>
          <w:t>https://www.gjcpp.org/pdfs/4-CattaneoEtAl-Final.pdf</w:t>
        </w:r>
      </w:hyperlink>
    </w:p>
    <w:p w14:paraId="5E46DFBA" w14:textId="153C9F43" w:rsidR="00124A6F" w:rsidRPr="00492CCC" w:rsidRDefault="00124A6F" w:rsidP="00773B36">
      <w:pPr>
        <w:ind w:left="720" w:hanging="720"/>
        <w:mirrorIndents/>
        <w:rPr>
          <w:rFonts w:cstheme="minorHAnsi"/>
        </w:rPr>
      </w:pPr>
      <w:r w:rsidRPr="00492CCC">
        <w:rPr>
          <w:rFonts w:cstheme="minorHAnsi"/>
          <w:color w:val="231F20"/>
        </w:rPr>
        <w:t xml:space="preserve">Christens, B. D., Connell, C. M., Faust, V., </w:t>
      </w:r>
      <w:bookmarkStart w:id="20" w:name="_bookmark27"/>
      <w:bookmarkEnd w:id="20"/>
      <w:r w:rsidRPr="00492CCC">
        <w:rPr>
          <w:rFonts w:cstheme="minorHAnsi"/>
          <w:color w:val="231F20"/>
        </w:rPr>
        <w:t>Haber,</w:t>
      </w:r>
      <w:r w:rsidR="00303324" w:rsidRPr="00492CCC">
        <w:rPr>
          <w:rFonts w:cstheme="minorHAnsi"/>
          <w:color w:val="231F20"/>
        </w:rPr>
        <w:t xml:space="preserve"> </w:t>
      </w:r>
      <w:r w:rsidRPr="00492CCC">
        <w:rPr>
          <w:rFonts w:cstheme="minorHAnsi"/>
          <w:color w:val="231F20"/>
        </w:rPr>
        <w:t xml:space="preserve">M. G., &amp; the Council of Education Programs. (2015). Progress report: Competencies for community research and action. </w:t>
      </w:r>
      <w:r w:rsidRPr="00492CCC">
        <w:rPr>
          <w:rFonts w:cstheme="minorHAnsi"/>
          <w:i/>
          <w:color w:val="231F20"/>
        </w:rPr>
        <w:t xml:space="preserve">The Community </w:t>
      </w:r>
      <w:bookmarkStart w:id="21" w:name="_bookmark28"/>
      <w:bookmarkEnd w:id="21"/>
      <w:r w:rsidRPr="00492CCC">
        <w:rPr>
          <w:rFonts w:cstheme="minorHAnsi"/>
          <w:i/>
          <w:color w:val="231F20"/>
        </w:rPr>
        <w:t>Psychologist</w:t>
      </w:r>
      <w:r w:rsidRPr="00492CCC">
        <w:rPr>
          <w:rFonts w:cstheme="minorHAnsi"/>
          <w:iCs/>
          <w:color w:val="231F20"/>
        </w:rPr>
        <w:t>,</w:t>
      </w:r>
      <w:r w:rsidRPr="00492CCC">
        <w:rPr>
          <w:rFonts w:cstheme="minorHAnsi"/>
          <w:i/>
          <w:color w:val="231F20"/>
        </w:rPr>
        <w:t xml:space="preserve"> 48</w:t>
      </w:r>
      <w:r w:rsidR="005935D6" w:rsidRPr="00492CCC">
        <w:rPr>
          <w:rFonts w:cstheme="minorHAnsi"/>
          <w:iCs/>
          <w:color w:val="231F20"/>
        </w:rPr>
        <w:t>(4)</w:t>
      </w:r>
      <w:r w:rsidRPr="00492CCC">
        <w:rPr>
          <w:rFonts w:cstheme="minorHAnsi"/>
          <w:iCs/>
          <w:color w:val="231F20"/>
        </w:rPr>
        <w:t xml:space="preserve">, </w:t>
      </w:r>
      <w:r w:rsidRPr="00492CCC">
        <w:rPr>
          <w:rFonts w:cstheme="minorHAnsi"/>
          <w:color w:val="231F20"/>
        </w:rPr>
        <w:t xml:space="preserve">3–9. </w:t>
      </w:r>
      <w:hyperlink r:id="rId24" w:history="1">
        <w:r w:rsidR="001A5F8C" w:rsidRPr="00492CCC">
          <w:rPr>
            <w:rStyle w:val="Hyperlink"/>
          </w:rPr>
          <w:t>http://www.scra27.com/publications/tcp/tcp-past-issues/tcpfall2015/special-feature/</w:t>
        </w:r>
      </w:hyperlink>
    </w:p>
    <w:p w14:paraId="638DC3B2" w14:textId="5928FD9D" w:rsidR="00124A6F" w:rsidRPr="00492CCC" w:rsidRDefault="00124A6F" w:rsidP="00773B36">
      <w:pPr>
        <w:ind w:left="720" w:hanging="720"/>
        <w:mirrorIndents/>
        <w:rPr>
          <w:rFonts w:cstheme="minorHAnsi"/>
        </w:rPr>
      </w:pPr>
      <w:r w:rsidRPr="00492CCC">
        <w:rPr>
          <w:rFonts w:cstheme="minorHAnsi"/>
          <w:color w:val="231F20"/>
        </w:rPr>
        <w:t xml:space="preserve">Creswell, J. W., &amp; Plano Clark, V. L. (2011). </w:t>
      </w:r>
      <w:r w:rsidRPr="00492CCC">
        <w:rPr>
          <w:rFonts w:cstheme="minorHAnsi"/>
          <w:i/>
          <w:color w:val="231F20"/>
        </w:rPr>
        <w:t xml:space="preserve">Designing and conducting mixed methods research </w:t>
      </w:r>
      <w:r w:rsidRPr="00492CCC">
        <w:rPr>
          <w:rFonts w:cstheme="minorHAnsi"/>
          <w:color w:val="231F20"/>
        </w:rPr>
        <w:t xml:space="preserve">(2nd ed.). </w:t>
      </w:r>
      <w:r w:rsidR="005935D6" w:rsidRPr="00492CCC">
        <w:rPr>
          <w:rFonts w:cstheme="minorHAnsi"/>
          <w:color w:val="231F20"/>
        </w:rPr>
        <w:t>SAGE Publications</w:t>
      </w:r>
      <w:r w:rsidRPr="00492CCC">
        <w:rPr>
          <w:rFonts w:cstheme="minorHAnsi"/>
          <w:color w:val="231F20"/>
        </w:rPr>
        <w:t>.</w:t>
      </w:r>
    </w:p>
    <w:p w14:paraId="26DB8D14" w14:textId="0601E407" w:rsidR="00124A6F" w:rsidRPr="00492CCC" w:rsidRDefault="00124A6F" w:rsidP="00773B36">
      <w:pPr>
        <w:ind w:left="720" w:hanging="720"/>
        <w:mirrorIndents/>
        <w:rPr>
          <w:rFonts w:cstheme="minorHAnsi"/>
        </w:rPr>
      </w:pPr>
      <w:r w:rsidRPr="00492CCC">
        <w:rPr>
          <w:rFonts w:cstheme="minorHAnsi"/>
          <w:color w:val="231F20"/>
        </w:rPr>
        <w:t xml:space="preserve">Driscoll, A. (2008). Carnegie’s community-engagement classification: Intentions and insights. </w:t>
      </w:r>
      <w:r w:rsidRPr="00492CCC">
        <w:rPr>
          <w:rFonts w:cstheme="minorHAnsi"/>
          <w:i/>
          <w:color w:val="231F20"/>
        </w:rPr>
        <w:t>Change: The Magazine of Higher Learning</w:t>
      </w:r>
      <w:r w:rsidRPr="00492CCC">
        <w:rPr>
          <w:rFonts w:cstheme="minorHAnsi"/>
          <w:iCs/>
          <w:color w:val="231F20"/>
        </w:rPr>
        <w:t xml:space="preserve">, </w:t>
      </w:r>
      <w:r w:rsidRPr="00492CCC">
        <w:rPr>
          <w:rFonts w:cstheme="minorHAnsi"/>
          <w:i/>
          <w:color w:val="231F20"/>
        </w:rPr>
        <w:t>40</w:t>
      </w:r>
      <w:r w:rsidR="007175AF" w:rsidRPr="00492CCC">
        <w:rPr>
          <w:rFonts w:cstheme="minorHAnsi"/>
          <w:iCs/>
          <w:color w:val="231F20"/>
        </w:rPr>
        <w:t>(1)</w:t>
      </w:r>
      <w:r w:rsidRPr="00492CCC">
        <w:rPr>
          <w:rFonts w:cstheme="minorHAnsi"/>
          <w:iCs/>
          <w:color w:val="231F20"/>
        </w:rPr>
        <w:t>,</w:t>
      </w:r>
      <w:r w:rsidRPr="00492CCC">
        <w:rPr>
          <w:rFonts w:cstheme="minorHAnsi"/>
          <w:i/>
          <w:color w:val="231F20"/>
        </w:rPr>
        <w:t xml:space="preserve"> </w:t>
      </w:r>
      <w:r w:rsidRPr="00492CCC">
        <w:rPr>
          <w:rFonts w:cstheme="minorHAnsi"/>
          <w:color w:val="231F20"/>
        </w:rPr>
        <w:t xml:space="preserve">38–41. </w:t>
      </w:r>
      <w:hyperlink r:id="rId25">
        <w:r w:rsidR="007175AF" w:rsidRPr="00492CCC">
          <w:rPr>
            <w:rStyle w:val="Hyperlink"/>
            <w:rFonts w:cstheme="minorHAnsi"/>
          </w:rPr>
          <w:t>https://doi.org/10.3200/CHNG.40.1</w:t>
        </w:r>
      </w:hyperlink>
      <w:hyperlink r:id="rId26">
        <w:r w:rsidR="007175AF" w:rsidRPr="00492CCC">
          <w:rPr>
            <w:rStyle w:val="Hyperlink"/>
            <w:rFonts w:cstheme="minorHAnsi"/>
          </w:rPr>
          <w:t>.38-41</w:t>
        </w:r>
      </w:hyperlink>
    </w:p>
    <w:p w14:paraId="4FC01015" w14:textId="7FB4F3D7" w:rsidR="00124A6F" w:rsidRPr="00492CCC" w:rsidRDefault="00124A6F" w:rsidP="00773B36">
      <w:pPr>
        <w:ind w:left="720" w:hanging="720"/>
        <w:mirrorIndents/>
        <w:rPr>
          <w:rFonts w:cstheme="minorHAnsi"/>
        </w:rPr>
      </w:pPr>
      <w:proofErr w:type="spellStart"/>
      <w:r w:rsidRPr="00492CCC">
        <w:rPr>
          <w:rFonts w:cstheme="minorHAnsi"/>
          <w:color w:val="231F20"/>
        </w:rPr>
        <w:t>Einfeld</w:t>
      </w:r>
      <w:proofErr w:type="spellEnd"/>
      <w:r w:rsidRPr="00492CCC">
        <w:rPr>
          <w:rFonts w:cstheme="minorHAnsi"/>
          <w:color w:val="231F20"/>
        </w:rPr>
        <w:t xml:space="preserve">, A., &amp; Collins, D. (2008). The relationships between service-learning, social justice, multicultural competence, and civic engagement. </w:t>
      </w:r>
      <w:r w:rsidRPr="00492CCC">
        <w:rPr>
          <w:rFonts w:cstheme="minorHAnsi"/>
          <w:i/>
          <w:color w:val="231F20"/>
        </w:rPr>
        <w:t>Journal of College Student Development</w:t>
      </w:r>
      <w:r w:rsidRPr="00492CCC">
        <w:rPr>
          <w:rFonts w:cstheme="minorHAnsi"/>
          <w:iCs/>
          <w:color w:val="231F20"/>
        </w:rPr>
        <w:t xml:space="preserve">, </w:t>
      </w:r>
      <w:r w:rsidRPr="00492CCC">
        <w:rPr>
          <w:rFonts w:cstheme="minorHAnsi"/>
          <w:i/>
          <w:color w:val="231F20"/>
        </w:rPr>
        <w:t>49</w:t>
      </w:r>
      <w:r w:rsidR="007175AF" w:rsidRPr="00492CCC">
        <w:rPr>
          <w:rFonts w:cstheme="minorHAnsi"/>
          <w:iCs/>
          <w:color w:val="231F20"/>
        </w:rPr>
        <w:t>(2)</w:t>
      </w:r>
      <w:r w:rsidRPr="00492CCC">
        <w:rPr>
          <w:rFonts w:cstheme="minorHAnsi"/>
          <w:iCs/>
          <w:color w:val="231F20"/>
        </w:rPr>
        <w:t>,</w:t>
      </w:r>
      <w:r w:rsidRPr="00492CCC">
        <w:rPr>
          <w:rFonts w:cstheme="minorHAnsi"/>
          <w:i/>
          <w:color w:val="231F20"/>
        </w:rPr>
        <w:t xml:space="preserve"> </w:t>
      </w:r>
      <w:r w:rsidRPr="00492CCC">
        <w:rPr>
          <w:rFonts w:cstheme="minorHAnsi"/>
          <w:color w:val="231F20"/>
        </w:rPr>
        <w:t xml:space="preserve">95–109. </w:t>
      </w:r>
      <w:hyperlink r:id="rId27">
        <w:r w:rsidR="000A356D" w:rsidRPr="00492CCC">
          <w:rPr>
            <w:rStyle w:val="Hyperlink"/>
          </w:rPr>
          <w:t>https://doi.org/10.1353/csd.2008.0017</w:t>
        </w:r>
      </w:hyperlink>
    </w:p>
    <w:p w14:paraId="1635CAFA" w14:textId="3195B503" w:rsidR="00124A6F" w:rsidRPr="00492CCC" w:rsidRDefault="00124A6F" w:rsidP="00773B36">
      <w:pPr>
        <w:ind w:left="720" w:hanging="720"/>
        <w:mirrorIndents/>
        <w:rPr>
          <w:rFonts w:cstheme="minorHAnsi"/>
        </w:rPr>
      </w:pPr>
      <w:r w:rsidRPr="00492CCC">
        <w:rPr>
          <w:rFonts w:cstheme="minorHAnsi"/>
          <w:color w:val="231F20"/>
        </w:rPr>
        <w:t xml:space="preserve">Esterberg, K. G. (2002). </w:t>
      </w:r>
      <w:r w:rsidRPr="00492CCC">
        <w:rPr>
          <w:rFonts w:cstheme="minorHAnsi"/>
          <w:i/>
          <w:color w:val="231F20"/>
        </w:rPr>
        <w:t>Qualitative methods in social research</w:t>
      </w:r>
      <w:r w:rsidRPr="00492CCC">
        <w:rPr>
          <w:rFonts w:cstheme="minorHAnsi"/>
          <w:color w:val="231F20"/>
        </w:rPr>
        <w:t>. McGraw-Hill.</w:t>
      </w:r>
    </w:p>
    <w:p w14:paraId="6C6B67E7" w14:textId="3A7BE5BF" w:rsidR="007175AF" w:rsidRPr="00492CCC" w:rsidRDefault="00124A6F" w:rsidP="00773B36">
      <w:pPr>
        <w:ind w:left="720" w:hanging="720"/>
        <w:mirrorIndents/>
        <w:rPr>
          <w:rFonts w:cstheme="minorHAnsi"/>
        </w:rPr>
      </w:pPr>
      <w:r w:rsidRPr="00492CCC">
        <w:rPr>
          <w:rFonts w:cstheme="minorHAnsi"/>
          <w:color w:val="231F20"/>
        </w:rPr>
        <w:lastRenderedPageBreak/>
        <w:t>Friedland, E. (2004). Education for liberation: Ma</w:t>
      </w:r>
      <w:r w:rsidR="00303324" w:rsidRPr="00492CCC">
        <w:rPr>
          <w:rFonts w:cstheme="minorHAnsi"/>
          <w:color w:val="231F20"/>
        </w:rPr>
        <w:t>k</w:t>
      </w:r>
      <w:r w:rsidRPr="00492CCC">
        <w:rPr>
          <w:rFonts w:cstheme="minorHAnsi"/>
          <w:color w:val="231F20"/>
        </w:rPr>
        <w:t xml:space="preserve">ing the classroom a place for thinking and creating—A Guatemalan story. </w:t>
      </w:r>
      <w:r w:rsidRPr="00492CCC">
        <w:rPr>
          <w:rFonts w:cstheme="minorHAnsi"/>
          <w:i/>
          <w:color w:val="231F20"/>
        </w:rPr>
        <w:t>Multicultural Education</w:t>
      </w:r>
      <w:r w:rsidRPr="00492CCC">
        <w:rPr>
          <w:rFonts w:cstheme="minorHAnsi"/>
          <w:iCs/>
          <w:color w:val="231F20"/>
        </w:rPr>
        <w:t>,</w:t>
      </w:r>
      <w:r w:rsidRPr="00492CCC">
        <w:rPr>
          <w:rFonts w:cstheme="minorHAnsi"/>
          <w:i/>
          <w:color w:val="231F20"/>
        </w:rPr>
        <w:t xml:space="preserve"> 12</w:t>
      </w:r>
      <w:r w:rsidR="007175AF" w:rsidRPr="00492CCC">
        <w:rPr>
          <w:rFonts w:cstheme="minorHAnsi"/>
          <w:iCs/>
          <w:color w:val="231F20"/>
        </w:rPr>
        <w:t>(2)</w:t>
      </w:r>
      <w:r w:rsidRPr="00492CCC">
        <w:rPr>
          <w:rFonts w:cstheme="minorHAnsi"/>
          <w:iCs/>
          <w:color w:val="231F20"/>
        </w:rPr>
        <w:t>,</w:t>
      </w:r>
      <w:r w:rsidRPr="00492CCC">
        <w:rPr>
          <w:rFonts w:cstheme="minorHAnsi"/>
          <w:i/>
          <w:color w:val="231F20"/>
        </w:rPr>
        <w:t xml:space="preserve"> </w:t>
      </w:r>
      <w:r w:rsidRPr="00492CCC">
        <w:rPr>
          <w:rFonts w:cstheme="minorHAnsi"/>
          <w:color w:val="231F20"/>
        </w:rPr>
        <w:t>2–7.</w:t>
      </w:r>
      <w:r w:rsidR="007175AF" w:rsidRPr="00492CCC">
        <w:rPr>
          <w:rFonts w:cstheme="minorHAnsi"/>
          <w:color w:val="231F20"/>
        </w:rPr>
        <w:t xml:space="preserve"> </w:t>
      </w:r>
      <w:hyperlink r:id="rId28" w:history="1">
        <w:r w:rsidR="007175AF" w:rsidRPr="00492CCC">
          <w:rPr>
            <w:rStyle w:val="Hyperlink"/>
            <w:rFonts w:cstheme="minorHAnsi"/>
          </w:rPr>
          <w:t>https://files.eric.ed.gov/fulltext/EJ781920.pdf</w:t>
        </w:r>
      </w:hyperlink>
    </w:p>
    <w:p w14:paraId="49C74AF8" w14:textId="3087FFC1" w:rsidR="007175AF" w:rsidRPr="00492CCC" w:rsidRDefault="00124A6F" w:rsidP="00773B36">
      <w:pPr>
        <w:ind w:left="720" w:hanging="720"/>
        <w:mirrorIndents/>
        <w:rPr>
          <w:rFonts w:cstheme="minorHAnsi"/>
        </w:rPr>
      </w:pPr>
      <w:r w:rsidRPr="00492CCC">
        <w:rPr>
          <w:rFonts w:cstheme="minorHAnsi"/>
          <w:color w:val="231F20"/>
        </w:rPr>
        <w:t xml:space="preserve">Funge, S. P. (2011). Promoting the social justice orientation of students: The role of the educator. </w:t>
      </w:r>
      <w:r w:rsidRPr="00492CCC">
        <w:rPr>
          <w:rFonts w:cstheme="minorHAnsi"/>
          <w:i/>
          <w:color w:val="231F20"/>
        </w:rPr>
        <w:t>Journal of Social Work Education</w:t>
      </w:r>
      <w:r w:rsidRPr="00492CCC">
        <w:rPr>
          <w:rFonts w:cstheme="minorHAnsi"/>
          <w:iCs/>
          <w:color w:val="231F20"/>
        </w:rPr>
        <w:t>,</w:t>
      </w:r>
      <w:r w:rsidRPr="00492CCC">
        <w:rPr>
          <w:rFonts w:cstheme="minorHAnsi"/>
          <w:i/>
          <w:color w:val="231F20"/>
        </w:rPr>
        <w:t xml:space="preserve"> 47</w:t>
      </w:r>
      <w:r w:rsidR="007175AF" w:rsidRPr="00492CCC">
        <w:rPr>
          <w:rFonts w:cstheme="minorHAnsi"/>
          <w:iCs/>
          <w:color w:val="231F20"/>
        </w:rPr>
        <w:t>(1)</w:t>
      </w:r>
      <w:r w:rsidRPr="00492CCC">
        <w:rPr>
          <w:rFonts w:cstheme="minorHAnsi"/>
          <w:iCs/>
          <w:color w:val="231F20"/>
        </w:rPr>
        <w:t>,</w:t>
      </w:r>
      <w:r w:rsidRPr="00492CCC">
        <w:rPr>
          <w:rFonts w:cstheme="minorHAnsi"/>
          <w:i/>
          <w:color w:val="231F20"/>
        </w:rPr>
        <w:t xml:space="preserve"> </w:t>
      </w:r>
      <w:r w:rsidRPr="00492CCC">
        <w:rPr>
          <w:rFonts w:cstheme="minorHAnsi"/>
          <w:color w:val="231F20"/>
        </w:rPr>
        <w:t xml:space="preserve">73–90. </w:t>
      </w:r>
      <w:hyperlink r:id="rId29" w:history="1">
        <w:r w:rsidR="007175AF" w:rsidRPr="00492CCC">
          <w:rPr>
            <w:rStyle w:val="Hyperlink"/>
            <w:rFonts w:cstheme="minorHAnsi"/>
          </w:rPr>
          <w:t>https://doi.org/10.5175/JSWE.2011.200900035</w:t>
        </w:r>
      </w:hyperlink>
    </w:p>
    <w:p w14:paraId="29553CC8" w14:textId="442790F3" w:rsidR="00124A6F" w:rsidRPr="00492CCC" w:rsidRDefault="00124A6F" w:rsidP="00773B36">
      <w:pPr>
        <w:ind w:left="720" w:hanging="720"/>
        <w:mirrorIndents/>
        <w:rPr>
          <w:rFonts w:cstheme="minorHAnsi"/>
          <w:color w:val="231F20"/>
        </w:rPr>
      </w:pPr>
      <w:proofErr w:type="spellStart"/>
      <w:r w:rsidRPr="00492CCC">
        <w:rPr>
          <w:rFonts w:cstheme="minorHAnsi"/>
          <w:color w:val="231F20"/>
        </w:rPr>
        <w:t>Gallor</w:t>
      </w:r>
      <w:proofErr w:type="spellEnd"/>
      <w:r w:rsidRPr="00492CCC">
        <w:rPr>
          <w:rFonts w:cstheme="minorHAnsi"/>
          <w:color w:val="231F20"/>
        </w:rPr>
        <w:t xml:space="preserve">, S. (2017). A social justice approach to undergraduate psychology education: Building cultural diversity, inclusion, and sensitivity into teaching, research, and service. </w:t>
      </w:r>
      <w:r w:rsidRPr="00492CCC">
        <w:rPr>
          <w:rFonts w:cstheme="minorHAnsi"/>
          <w:i/>
          <w:color w:val="231F20"/>
        </w:rPr>
        <w:t>Psi Chi Journal of Psychological Research</w:t>
      </w:r>
      <w:r w:rsidRPr="00492CCC">
        <w:rPr>
          <w:rFonts w:cstheme="minorHAnsi"/>
          <w:iCs/>
          <w:color w:val="231F20"/>
        </w:rPr>
        <w:t xml:space="preserve">, </w:t>
      </w:r>
      <w:r w:rsidRPr="00492CCC">
        <w:rPr>
          <w:rFonts w:cstheme="minorHAnsi"/>
          <w:i/>
          <w:color w:val="231F20"/>
        </w:rPr>
        <w:t>22</w:t>
      </w:r>
      <w:r w:rsidR="000A356D" w:rsidRPr="00492CCC">
        <w:rPr>
          <w:rFonts w:cstheme="minorHAnsi"/>
          <w:iCs/>
          <w:color w:val="231F20"/>
        </w:rPr>
        <w:t>(4)</w:t>
      </w:r>
      <w:r w:rsidRPr="00492CCC">
        <w:rPr>
          <w:rFonts w:cstheme="minorHAnsi"/>
          <w:iCs/>
          <w:color w:val="231F20"/>
        </w:rPr>
        <w:t xml:space="preserve">, </w:t>
      </w:r>
      <w:r w:rsidRPr="00492CCC">
        <w:rPr>
          <w:rFonts w:cstheme="minorHAnsi"/>
          <w:color w:val="231F20"/>
        </w:rPr>
        <w:t xml:space="preserve">254–257. </w:t>
      </w:r>
      <w:hyperlink r:id="rId30">
        <w:r w:rsidR="000A356D" w:rsidRPr="00492CCC">
          <w:rPr>
            <w:rStyle w:val="Hyperlink"/>
            <w:rFonts w:cstheme="minorHAnsi"/>
          </w:rPr>
          <w:t>https://doi.org/</w:t>
        </w:r>
      </w:hyperlink>
      <w:hyperlink r:id="rId31">
        <w:r w:rsidR="000A356D" w:rsidRPr="00492CCC">
          <w:rPr>
            <w:rStyle w:val="Hyperlink"/>
            <w:rFonts w:cstheme="minorHAnsi"/>
          </w:rPr>
          <w:t>10.24839/2325-7342.JN22.4.254</w:t>
        </w:r>
      </w:hyperlink>
    </w:p>
    <w:p w14:paraId="46097D87" w14:textId="7455A89C" w:rsidR="00124A6F" w:rsidRPr="00492CCC" w:rsidRDefault="00124A6F" w:rsidP="00773B36">
      <w:pPr>
        <w:ind w:left="720" w:hanging="720"/>
        <w:mirrorIndents/>
        <w:rPr>
          <w:rFonts w:cstheme="minorHAnsi"/>
        </w:rPr>
      </w:pPr>
      <w:r w:rsidRPr="00492CCC">
        <w:rPr>
          <w:rFonts w:cstheme="minorHAnsi"/>
          <w:color w:val="231F20"/>
        </w:rPr>
        <w:t xml:space="preserve">Garibay, J. C. (2015). STEM students’ social agency and views on working for social change: Are STEM disciplines developing socially and civically responsible students? </w:t>
      </w:r>
      <w:r w:rsidRPr="00492CCC">
        <w:rPr>
          <w:rFonts w:cstheme="minorHAnsi"/>
          <w:i/>
          <w:color w:val="231F20"/>
        </w:rPr>
        <w:t>Journal of Research in Science Teaching</w:t>
      </w:r>
      <w:r w:rsidRPr="00492CCC">
        <w:rPr>
          <w:rFonts w:cstheme="minorHAnsi"/>
          <w:iCs/>
          <w:color w:val="231F20"/>
        </w:rPr>
        <w:t>,</w:t>
      </w:r>
      <w:r w:rsidRPr="00492CCC">
        <w:rPr>
          <w:rFonts w:cstheme="minorHAnsi"/>
          <w:i/>
          <w:color w:val="231F20"/>
        </w:rPr>
        <w:t xml:space="preserve"> 52</w:t>
      </w:r>
      <w:r w:rsidR="000A356D" w:rsidRPr="00492CCC">
        <w:rPr>
          <w:rFonts w:cstheme="minorHAnsi"/>
          <w:iCs/>
          <w:color w:val="231F20"/>
        </w:rPr>
        <w:t>(5)</w:t>
      </w:r>
      <w:r w:rsidRPr="00492CCC">
        <w:rPr>
          <w:rFonts w:cstheme="minorHAnsi"/>
          <w:iCs/>
          <w:color w:val="231F20"/>
        </w:rPr>
        <w:t xml:space="preserve">, </w:t>
      </w:r>
      <w:r w:rsidRPr="00492CCC">
        <w:rPr>
          <w:rFonts w:cstheme="minorHAnsi"/>
          <w:color w:val="231F20"/>
        </w:rPr>
        <w:t xml:space="preserve">610–632. </w:t>
      </w:r>
      <w:hyperlink r:id="rId32">
        <w:r w:rsidR="0008297E" w:rsidRPr="00492CCC">
          <w:rPr>
            <w:rStyle w:val="Hyperlink"/>
          </w:rPr>
          <w:t>https://doi.org/</w:t>
        </w:r>
      </w:hyperlink>
      <w:hyperlink r:id="rId33">
        <w:r w:rsidR="0008297E" w:rsidRPr="00492CCC">
          <w:rPr>
            <w:rStyle w:val="Hyperlink"/>
          </w:rPr>
          <w:t>10.1002/tea.21203</w:t>
        </w:r>
      </w:hyperlink>
    </w:p>
    <w:p w14:paraId="0B39B5B6" w14:textId="05D2718D" w:rsidR="00CE59DC" w:rsidRPr="00492CCC" w:rsidRDefault="00CE59DC" w:rsidP="00773B36">
      <w:pPr>
        <w:ind w:left="720" w:hanging="720"/>
        <w:mirrorIndents/>
        <w:rPr>
          <w:rFonts w:cstheme="minorHAnsi"/>
          <w:color w:val="231F20"/>
        </w:rPr>
      </w:pPr>
      <w:r w:rsidRPr="00492CCC">
        <w:rPr>
          <w:rFonts w:cstheme="minorHAnsi"/>
          <w:color w:val="231F20"/>
        </w:rPr>
        <w:t>Georgetown University Center on Education and the Workforce</w:t>
      </w:r>
      <w:r w:rsidR="00124A6F" w:rsidRPr="00492CCC">
        <w:rPr>
          <w:rFonts w:cstheme="minorHAnsi"/>
          <w:color w:val="231F20"/>
        </w:rPr>
        <w:t xml:space="preserve">. (2017). </w:t>
      </w:r>
      <w:r w:rsidR="00124A6F" w:rsidRPr="00492CCC">
        <w:rPr>
          <w:rFonts w:cstheme="minorHAnsi"/>
          <w:i/>
          <w:color w:val="231F20"/>
        </w:rPr>
        <w:t>African American</w:t>
      </w:r>
      <w:r w:rsidRPr="00492CCC">
        <w:rPr>
          <w:rFonts w:cstheme="minorHAnsi"/>
          <w:i/>
          <w:color w:val="231F20"/>
        </w:rPr>
        <w:t>s: C</w:t>
      </w:r>
      <w:r w:rsidR="00124A6F" w:rsidRPr="00492CCC">
        <w:rPr>
          <w:rFonts w:cstheme="minorHAnsi"/>
          <w:i/>
          <w:color w:val="231F20"/>
        </w:rPr>
        <w:t>ollege majors and earnings</w:t>
      </w:r>
      <w:r w:rsidR="00124A6F" w:rsidRPr="00492CCC">
        <w:rPr>
          <w:rFonts w:cstheme="minorHAnsi"/>
          <w:color w:val="231F20"/>
        </w:rPr>
        <w:t xml:space="preserve">. </w:t>
      </w:r>
      <w:r w:rsidRPr="00492CCC">
        <w:rPr>
          <w:rFonts w:cstheme="minorHAnsi"/>
          <w:color w:val="231F20"/>
        </w:rPr>
        <w:t xml:space="preserve">Georgetown University. </w:t>
      </w:r>
      <w:hyperlink r:id="rId34" w:history="1">
        <w:r w:rsidRPr="00492CCC">
          <w:rPr>
            <w:rStyle w:val="Hyperlink"/>
            <w:rFonts w:cstheme="minorHAnsi"/>
          </w:rPr>
          <w:t>https://cew.georgetown.edu/cew-reports/african-american-majors/</w:t>
        </w:r>
      </w:hyperlink>
    </w:p>
    <w:p w14:paraId="23B3B2F1" w14:textId="2CAA55DF" w:rsidR="00124A6F" w:rsidRPr="00492CCC" w:rsidRDefault="00124A6F" w:rsidP="00773B36">
      <w:pPr>
        <w:ind w:left="720" w:hanging="720"/>
        <w:mirrorIndents/>
        <w:rPr>
          <w:rFonts w:cstheme="minorHAnsi"/>
        </w:rPr>
      </w:pPr>
      <w:r w:rsidRPr="00492CCC">
        <w:rPr>
          <w:rFonts w:cstheme="minorHAnsi"/>
          <w:color w:val="231F20"/>
        </w:rPr>
        <w:t>Gibbs, K. D., Jr., &amp; Griffin, K. A. (2013). What do I</w:t>
      </w:r>
      <w:r w:rsidR="00303324" w:rsidRPr="00492CCC">
        <w:rPr>
          <w:rFonts w:cstheme="minorHAnsi"/>
        </w:rPr>
        <w:t xml:space="preserve"> </w:t>
      </w:r>
      <w:r w:rsidRPr="00492CCC">
        <w:rPr>
          <w:rFonts w:cstheme="minorHAnsi"/>
          <w:color w:val="231F20"/>
        </w:rPr>
        <w:t xml:space="preserve">want to be with my PhD? The roles of personal values and structural dynamics in shaping the career interests of recent biomedical science PhD graduates. </w:t>
      </w:r>
      <w:r w:rsidRPr="00492CCC">
        <w:rPr>
          <w:rFonts w:cstheme="minorHAnsi"/>
          <w:i/>
          <w:color w:val="231F20"/>
        </w:rPr>
        <w:t>CBE Life Sciences Education</w:t>
      </w:r>
      <w:r w:rsidRPr="00492CCC">
        <w:rPr>
          <w:rFonts w:cstheme="minorHAnsi"/>
          <w:iCs/>
          <w:color w:val="231F20"/>
        </w:rPr>
        <w:t>,</w:t>
      </w:r>
      <w:r w:rsidRPr="00492CCC">
        <w:rPr>
          <w:rFonts w:cstheme="minorHAnsi"/>
          <w:i/>
          <w:color w:val="231F20"/>
        </w:rPr>
        <w:t xml:space="preserve"> 12</w:t>
      </w:r>
      <w:r w:rsidR="0008297E" w:rsidRPr="00492CCC">
        <w:rPr>
          <w:rFonts w:cstheme="minorHAnsi"/>
          <w:iCs/>
          <w:color w:val="231F20"/>
        </w:rPr>
        <w:t>(4)</w:t>
      </w:r>
      <w:r w:rsidRPr="00492CCC">
        <w:rPr>
          <w:rFonts w:cstheme="minorHAnsi"/>
          <w:iCs/>
          <w:color w:val="231F20"/>
        </w:rPr>
        <w:t>,</w:t>
      </w:r>
      <w:r w:rsidRPr="00492CCC">
        <w:rPr>
          <w:rFonts w:cstheme="minorHAnsi"/>
          <w:i/>
          <w:color w:val="231F20"/>
        </w:rPr>
        <w:t xml:space="preserve"> </w:t>
      </w:r>
      <w:r w:rsidRPr="00492CCC">
        <w:rPr>
          <w:rFonts w:cstheme="minorHAnsi"/>
          <w:color w:val="231F20"/>
        </w:rPr>
        <w:t xml:space="preserve">711–723. </w:t>
      </w:r>
      <w:hyperlink r:id="rId35">
        <w:r w:rsidR="0008297E" w:rsidRPr="00492CCC">
          <w:rPr>
            <w:rStyle w:val="Hyperlink"/>
          </w:rPr>
          <w:t>https://doi.org/10.1187/cbe.13-02-0021</w:t>
        </w:r>
      </w:hyperlink>
    </w:p>
    <w:p w14:paraId="3C7E5FA3" w14:textId="2552EB7D" w:rsidR="00124A6F" w:rsidRPr="00492CCC" w:rsidRDefault="00124A6F" w:rsidP="00773B36">
      <w:pPr>
        <w:ind w:left="720" w:hanging="720"/>
        <w:mirrorIndents/>
        <w:rPr>
          <w:rFonts w:cstheme="minorHAnsi"/>
        </w:rPr>
      </w:pPr>
      <w:r w:rsidRPr="00492CCC">
        <w:rPr>
          <w:rFonts w:cstheme="minorHAnsi"/>
          <w:color w:val="231F20"/>
        </w:rPr>
        <w:t xml:space="preserve">Ginwright, S. A., &amp; Cammarota, J. (2015). Teaching social justice research to undergraduate students in Puerto Rico: Using personal experiences to inform research. </w:t>
      </w:r>
      <w:r w:rsidRPr="00492CCC">
        <w:rPr>
          <w:rFonts w:cstheme="minorHAnsi"/>
          <w:i/>
          <w:color w:val="231F20"/>
        </w:rPr>
        <w:t>Equity &amp; Excellence in Education</w:t>
      </w:r>
      <w:r w:rsidRPr="00492CCC">
        <w:rPr>
          <w:rFonts w:cstheme="minorHAnsi"/>
          <w:iCs/>
          <w:color w:val="231F20"/>
        </w:rPr>
        <w:t>,</w:t>
      </w:r>
      <w:r w:rsidRPr="00492CCC">
        <w:rPr>
          <w:rFonts w:cstheme="minorHAnsi"/>
          <w:i/>
          <w:color w:val="231F20"/>
        </w:rPr>
        <w:t xml:space="preserve"> 48</w:t>
      </w:r>
      <w:r w:rsidR="0008297E" w:rsidRPr="00492CCC">
        <w:rPr>
          <w:rFonts w:cstheme="minorHAnsi"/>
          <w:iCs/>
          <w:color w:val="231F20"/>
        </w:rPr>
        <w:t>(2)</w:t>
      </w:r>
      <w:r w:rsidRPr="00492CCC">
        <w:rPr>
          <w:rFonts w:cstheme="minorHAnsi"/>
          <w:iCs/>
          <w:color w:val="231F20"/>
        </w:rPr>
        <w:t>,</w:t>
      </w:r>
      <w:r w:rsidRPr="00492CCC">
        <w:rPr>
          <w:rFonts w:cstheme="minorHAnsi"/>
          <w:i/>
          <w:color w:val="231F20"/>
        </w:rPr>
        <w:t xml:space="preserve"> </w:t>
      </w:r>
      <w:r w:rsidRPr="00492CCC">
        <w:rPr>
          <w:rFonts w:cstheme="minorHAnsi"/>
          <w:color w:val="231F20"/>
        </w:rPr>
        <w:t xml:space="preserve">162–177. </w:t>
      </w:r>
      <w:hyperlink r:id="rId36">
        <w:r w:rsidR="0008297E" w:rsidRPr="00492CCC">
          <w:rPr>
            <w:rStyle w:val="Hyperlink"/>
          </w:rPr>
          <w:t>https://doi.org/10.1080/10665684</w:t>
        </w:r>
      </w:hyperlink>
      <w:hyperlink r:id="rId37">
        <w:r w:rsidR="0008297E" w:rsidRPr="00492CCC">
          <w:rPr>
            <w:rStyle w:val="Hyperlink"/>
          </w:rPr>
          <w:t>.2014.959331</w:t>
        </w:r>
      </w:hyperlink>
    </w:p>
    <w:p w14:paraId="5727BEE3" w14:textId="474F2CD5" w:rsidR="00124A6F" w:rsidRPr="00492CCC" w:rsidRDefault="00124A6F" w:rsidP="00773B36">
      <w:pPr>
        <w:ind w:left="720" w:hanging="720"/>
        <w:mirrorIndents/>
        <w:rPr>
          <w:rFonts w:cstheme="minorHAnsi"/>
        </w:rPr>
      </w:pPr>
      <w:r w:rsidRPr="00492CCC">
        <w:rPr>
          <w:rFonts w:cstheme="minorHAnsi"/>
          <w:color w:val="231F20"/>
        </w:rPr>
        <w:lastRenderedPageBreak/>
        <w:t xml:space="preserve">Grant, C. A. (2012). Cultivating flourishing lives: A robust social justice vision of education. </w:t>
      </w:r>
      <w:r w:rsidRPr="00492CCC">
        <w:rPr>
          <w:rFonts w:cstheme="minorHAnsi"/>
          <w:i/>
          <w:color w:val="231F20"/>
        </w:rPr>
        <w:t>American Educational Research Journal</w:t>
      </w:r>
      <w:r w:rsidRPr="00492CCC">
        <w:rPr>
          <w:rFonts w:cstheme="minorHAnsi"/>
          <w:iCs/>
          <w:color w:val="231F20"/>
        </w:rPr>
        <w:t>,</w:t>
      </w:r>
      <w:r w:rsidRPr="00492CCC">
        <w:rPr>
          <w:rFonts w:cstheme="minorHAnsi"/>
          <w:i/>
          <w:color w:val="231F20"/>
        </w:rPr>
        <w:t xml:space="preserve"> 49</w:t>
      </w:r>
      <w:r w:rsidR="0008297E" w:rsidRPr="00492CCC">
        <w:rPr>
          <w:rFonts w:cstheme="minorHAnsi"/>
          <w:iCs/>
          <w:color w:val="231F20"/>
        </w:rPr>
        <w:t>(5)</w:t>
      </w:r>
      <w:r w:rsidRPr="00492CCC">
        <w:rPr>
          <w:rFonts w:cstheme="minorHAnsi"/>
          <w:iCs/>
          <w:color w:val="231F20"/>
        </w:rPr>
        <w:t xml:space="preserve">, </w:t>
      </w:r>
      <w:r w:rsidRPr="00492CCC">
        <w:rPr>
          <w:rFonts w:cstheme="minorHAnsi"/>
          <w:color w:val="231F20"/>
        </w:rPr>
        <w:t>910–934.</w:t>
      </w:r>
      <w:r w:rsidR="0008297E" w:rsidRPr="00492CCC">
        <w:t xml:space="preserve"> </w:t>
      </w:r>
      <w:hyperlink r:id="rId38">
        <w:r w:rsidR="0008297E" w:rsidRPr="00492CCC">
          <w:rPr>
            <w:rStyle w:val="Hyperlink"/>
            <w:rFonts w:cstheme="minorHAnsi"/>
          </w:rPr>
          <w:t>https://doi.org/10.3102/0002831212447977</w:t>
        </w:r>
      </w:hyperlink>
    </w:p>
    <w:p w14:paraId="1253A687" w14:textId="5BA949A2" w:rsidR="00124A6F" w:rsidRPr="00492CCC" w:rsidRDefault="00124A6F" w:rsidP="00773B36">
      <w:pPr>
        <w:ind w:left="720" w:hanging="720"/>
        <w:mirrorIndents/>
        <w:rPr>
          <w:rFonts w:cstheme="minorHAnsi"/>
        </w:rPr>
      </w:pPr>
      <w:r w:rsidRPr="00492CCC">
        <w:rPr>
          <w:rFonts w:cstheme="minorHAnsi"/>
          <w:color w:val="231F20"/>
        </w:rPr>
        <w:t>Grech, V., &amp; Calleja, N. (2018). WASP (</w:t>
      </w:r>
      <w:r w:rsidR="00587B78" w:rsidRPr="00492CCC">
        <w:rPr>
          <w:rFonts w:cstheme="minorHAnsi"/>
          <w:color w:val="231F20"/>
        </w:rPr>
        <w:t>w</w:t>
      </w:r>
      <w:r w:rsidRPr="00492CCC">
        <w:rPr>
          <w:rFonts w:cstheme="minorHAnsi"/>
          <w:color w:val="231F20"/>
        </w:rPr>
        <w:t xml:space="preserve">rite a </w:t>
      </w:r>
      <w:r w:rsidR="00587B78" w:rsidRPr="00492CCC">
        <w:rPr>
          <w:rFonts w:cstheme="minorHAnsi"/>
          <w:color w:val="231F20"/>
        </w:rPr>
        <w:t>s</w:t>
      </w:r>
      <w:r w:rsidRPr="00492CCC">
        <w:rPr>
          <w:rFonts w:cstheme="minorHAnsi"/>
          <w:color w:val="231F20"/>
        </w:rPr>
        <w:t xml:space="preserve">cientific </w:t>
      </w:r>
      <w:r w:rsidR="00587B78" w:rsidRPr="00492CCC">
        <w:rPr>
          <w:rFonts w:cstheme="minorHAnsi"/>
          <w:color w:val="231F20"/>
        </w:rPr>
        <w:t>p</w:t>
      </w:r>
      <w:r w:rsidRPr="00492CCC">
        <w:rPr>
          <w:rFonts w:cstheme="minorHAnsi"/>
          <w:color w:val="231F20"/>
        </w:rPr>
        <w:t xml:space="preserve">aper): Parametric vs. non-parametric tests. </w:t>
      </w:r>
      <w:r w:rsidRPr="00492CCC">
        <w:rPr>
          <w:rFonts w:cstheme="minorHAnsi"/>
          <w:i/>
          <w:color w:val="231F20"/>
        </w:rPr>
        <w:t>Early Human Development</w:t>
      </w:r>
      <w:r w:rsidR="00AA3846" w:rsidRPr="00492CCC">
        <w:rPr>
          <w:rFonts w:cstheme="minorHAnsi"/>
          <w:color w:val="231F20"/>
        </w:rPr>
        <w:t>,</w:t>
      </w:r>
      <w:r w:rsidRPr="00492CCC">
        <w:rPr>
          <w:rFonts w:cstheme="minorHAnsi"/>
          <w:i/>
          <w:color w:val="231F20"/>
        </w:rPr>
        <w:t xml:space="preserve"> 123</w:t>
      </w:r>
      <w:r w:rsidR="00AA3846" w:rsidRPr="00492CCC">
        <w:rPr>
          <w:rFonts w:cstheme="minorHAnsi"/>
          <w:color w:val="231F20"/>
        </w:rPr>
        <w:t>,</w:t>
      </w:r>
      <w:r w:rsidRPr="00492CCC">
        <w:rPr>
          <w:rFonts w:cstheme="minorHAnsi"/>
          <w:i/>
          <w:color w:val="231F20"/>
        </w:rPr>
        <w:t xml:space="preserve"> </w:t>
      </w:r>
      <w:r w:rsidRPr="00492CCC">
        <w:rPr>
          <w:rFonts w:cstheme="minorHAnsi"/>
          <w:color w:val="231F20"/>
        </w:rPr>
        <w:t>48–</w:t>
      </w:r>
      <w:bookmarkStart w:id="22" w:name="_bookmark29"/>
      <w:bookmarkEnd w:id="22"/>
      <w:r w:rsidRPr="00492CCC">
        <w:rPr>
          <w:rFonts w:cstheme="minorHAnsi"/>
          <w:color w:val="231F20"/>
        </w:rPr>
        <w:t xml:space="preserve">49. </w:t>
      </w:r>
      <w:hyperlink r:id="rId39">
        <w:r w:rsidR="0008297E" w:rsidRPr="00492CCC">
          <w:rPr>
            <w:rStyle w:val="Hyperlink"/>
          </w:rPr>
          <w:t>https://doi.org/10.1016/j.earlhumdev.2018.04</w:t>
        </w:r>
      </w:hyperlink>
      <w:hyperlink r:id="rId40">
        <w:r w:rsidR="0008297E" w:rsidRPr="00492CCC">
          <w:rPr>
            <w:rStyle w:val="Hyperlink"/>
          </w:rPr>
          <w:t>.014</w:t>
        </w:r>
      </w:hyperlink>
    </w:p>
    <w:p w14:paraId="2E285612" w14:textId="7D75317E" w:rsidR="00124A6F" w:rsidRPr="00492CCC" w:rsidRDefault="00124A6F" w:rsidP="00773B36">
      <w:pPr>
        <w:ind w:left="720" w:hanging="720"/>
        <w:mirrorIndents/>
        <w:rPr>
          <w:rFonts w:cstheme="minorHAnsi"/>
        </w:rPr>
      </w:pPr>
      <w:bookmarkStart w:id="23" w:name="_bookmark30"/>
      <w:bookmarkEnd w:id="23"/>
      <w:r w:rsidRPr="00492CCC">
        <w:rPr>
          <w:rFonts w:cstheme="minorHAnsi"/>
          <w:color w:val="231F20"/>
        </w:rPr>
        <w:t xml:space="preserve">Hardiman, R., Jackson, B., &amp; Griffin, P. (2007). Conceptual foundations for social justice education. In M. Adams, L. A. Bell, &amp; P. Griffin (Eds.), </w:t>
      </w:r>
      <w:r w:rsidRPr="00492CCC">
        <w:rPr>
          <w:rFonts w:cstheme="minorHAnsi"/>
          <w:i/>
          <w:color w:val="231F20"/>
        </w:rPr>
        <w:t xml:space="preserve">Teaching for diversity and social justice </w:t>
      </w:r>
      <w:r w:rsidRPr="00492CCC">
        <w:rPr>
          <w:rFonts w:cstheme="minorHAnsi"/>
          <w:color w:val="231F20"/>
        </w:rPr>
        <w:t xml:space="preserve">(pp. </w:t>
      </w:r>
      <w:bookmarkStart w:id="24" w:name="_bookmark31"/>
      <w:bookmarkEnd w:id="24"/>
      <w:r w:rsidRPr="00492CCC">
        <w:rPr>
          <w:rFonts w:cstheme="minorHAnsi"/>
          <w:color w:val="231F20"/>
        </w:rPr>
        <w:t>35–66). Routledge.</w:t>
      </w:r>
    </w:p>
    <w:p w14:paraId="5C7ABFE3" w14:textId="1D8AC33F" w:rsidR="00124A6F" w:rsidRPr="00492CCC" w:rsidRDefault="00124A6F" w:rsidP="00773B36">
      <w:pPr>
        <w:ind w:left="720" w:hanging="720"/>
        <w:mirrorIndents/>
        <w:rPr>
          <w:rFonts w:cstheme="minorHAnsi"/>
        </w:rPr>
      </w:pPr>
      <w:r w:rsidRPr="00492CCC">
        <w:rPr>
          <w:rFonts w:cstheme="minorHAnsi"/>
          <w:color w:val="231F20"/>
        </w:rPr>
        <w:t xml:space="preserve">Henderson, D. X. (2017). Modeling community engagement in an undergraduate course in psychology at an HBCU. </w:t>
      </w:r>
      <w:r w:rsidRPr="00492CCC">
        <w:rPr>
          <w:rFonts w:cstheme="minorHAnsi"/>
          <w:i/>
          <w:color w:val="231F20"/>
        </w:rPr>
        <w:t>Teaching of Psychology</w:t>
      </w:r>
      <w:r w:rsidRPr="00492CCC">
        <w:rPr>
          <w:rFonts w:cstheme="minorHAnsi"/>
          <w:iCs/>
          <w:color w:val="231F20"/>
        </w:rPr>
        <w:t>,</w:t>
      </w:r>
      <w:r w:rsidRPr="00492CCC">
        <w:rPr>
          <w:rFonts w:cstheme="minorHAnsi"/>
          <w:i/>
          <w:color w:val="231F20"/>
        </w:rPr>
        <w:t xml:space="preserve"> 44</w:t>
      </w:r>
      <w:r w:rsidR="0008297E" w:rsidRPr="00492CCC">
        <w:rPr>
          <w:rFonts w:cstheme="minorHAnsi"/>
          <w:iCs/>
          <w:color w:val="231F20"/>
        </w:rPr>
        <w:t>(1)</w:t>
      </w:r>
      <w:r w:rsidRPr="00492CCC">
        <w:rPr>
          <w:rFonts w:cstheme="minorHAnsi"/>
          <w:iCs/>
          <w:color w:val="231F20"/>
        </w:rPr>
        <w:t>,</w:t>
      </w:r>
      <w:r w:rsidRPr="00492CCC">
        <w:rPr>
          <w:rFonts w:cstheme="minorHAnsi"/>
          <w:i/>
          <w:color w:val="231F20"/>
        </w:rPr>
        <w:t xml:space="preserve"> </w:t>
      </w:r>
      <w:r w:rsidRPr="00492CCC">
        <w:rPr>
          <w:rFonts w:cstheme="minorHAnsi"/>
          <w:color w:val="231F20"/>
        </w:rPr>
        <w:t>58–62.</w:t>
      </w:r>
      <w:bookmarkStart w:id="25" w:name="_bookmark33"/>
      <w:bookmarkEnd w:id="25"/>
      <w:r w:rsidRPr="00492CCC">
        <w:rPr>
          <w:rFonts w:cstheme="minorHAnsi"/>
          <w:color w:val="231F20"/>
        </w:rPr>
        <w:t xml:space="preserve"> </w:t>
      </w:r>
      <w:hyperlink r:id="rId41">
        <w:r w:rsidR="0008297E" w:rsidRPr="00492CCC">
          <w:rPr>
            <w:rStyle w:val="Hyperlink"/>
            <w:rFonts w:cstheme="minorHAnsi"/>
          </w:rPr>
          <w:t>https://doi.org/10.1177/0098628316679958</w:t>
        </w:r>
      </w:hyperlink>
    </w:p>
    <w:p w14:paraId="1837AD01" w14:textId="634F1474" w:rsidR="00303324" w:rsidRPr="00492CCC" w:rsidRDefault="00124A6F" w:rsidP="00773B36">
      <w:pPr>
        <w:ind w:left="720" w:hanging="720"/>
        <w:mirrorIndents/>
        <w:rPr>
          <w:rFonts w:cstheme="minorHAnsi"/>
          <w:color w:val="231F20"/>
        </w:rPr>
      </w:pPr>
      <w:r w:rsidRPr="00492CCC">
        <w:rPr>
          <w:rFonts w:cstheme="minorHAnsi"/>
          <w:color w:val="231F20"/>
        </w:rPr>
        <w:t xml:space="preserve">Henderson, D. X., &amp; Wright, M. (2015). </w:t>
      </w:r>
      <w:bookmarkStart w:id="26" w:name="_bookmark34"/>
      <w:bookmarkEnd w:id="26"/>
      <w:r w:rsidRPr="00492CCC">
        <w:rPr>
          <w:rFonts w:cstheme="minorHAnsi"/>
          <w:color w:val="231F20"/>
        </w:rPr>
        <w:t xml:space="preserve">Getting students to “go out and make a change”: Promoting dimensions of global citizenship and social justice in an undergraduate course. </w:t>
      </w:r>
      <w:r w:rsidRPr="00492CCC">
        <w:rPr>
          <w:rFonts w:cstheme="minorHAnsi"/>
          <w:i/>
          <w:color w:val="231F20"/>
        </w:rPr>
        <w:t xml:space="preserve">Journal of </w:t>
      </w:r>
      <w:bookmarkStart w:id="27" w:name="_bookmark35"/>
      <w:bookmarkEnd w:id="27"/>
      <w:r w:rsidRPr="00492CCC">
        <w:rPr>
          <w:rFonts w:cstheme="minorHAnsi"/>
          <w:i/>
          <w:color w:val="231F20"/>
        </w:rPr>
        <w:t>Con</w:t>
      </w:r>
      <w:bookmarkStart w:id="28" w:name="_bookmark37"/>
      <w:bookmarkEnd w:id="28"/>
      <w:r w:rsidRPr="00492CCC">
        <w:rPr>
          <w:rFonts w:cstheme="minorHAnsi"/>
          <w:i/>
          <w:color w:val="231F20"/>
        </w:rPr>
        <w:t>temporary Issues in Higher Education</w:t>
      </w:r>
      <w:r w:rsidRPr="00492CCC">
        <w:rPr>
          <w:rFonts w:cstheme="minorHAnsi"/>
          <w:iCs/>
          <w:color w:val="231F20"/>
        </w:rPr>
        <w:t>,</w:t>
      </w:r>
      <w:r w:rsidRPr="00492CCC">
        <w:rPr>
          <w:rFonts w:cstheme="minorHAnsi"/>
          <w:i/>
          <w:color w:val="231F20"/>
        </w:rPr>
        <w:t xml:space="preserve"> 1</w:t>
      </w:r>
      <w:r w:rsidR="005935D6" w:rsidRPr="00492CCC">
        <w:rPr>
          <w:rFonts w:cstheme="minorHAnsi"/>
          <w:iCs/>
          <w:color w:val="231F20"/>
        </w:rPr>
        <w:t>(1)</w:t>
      </w:r>
      <w:r w:rsidRPr="00492CCC">
        <w:rPr>
          <w:rFonts w:cstheme="minorHAnsi"/>
          <w:iCs/>
          <w:color w:val="231F20"/>
        </w:rPr>
        <w:t>,</w:t>
      </w:r>
      <w:r w:rsidRPr="00492CCC">
        <w:rPr>
          <w:rFonts w:cstheme="minorHAnsi"/>
          <w:i/>
          <w:color w:val="231F20"/>
        </w:rPr>
        <w:t xml:space="preserve"> </w:t>
      </w:r>
      <w:r w:rsidRPr="00492CCC">
        <w:rPr>
          <w:rFonts w:cstheme="minorHAnsi"/>
          <w:color w:val="231F20"/>
        </w:rPr>
        <w:t xml:space="preserve">14–29. </w:t>
      </w:r>
    </w:p>
    <w:p w14:paraId="2E842758" w14:textId="21C674F0" w:rsidR="00124A6F" w:rsidRPr="00492CCC" w:rsidRDefault="00124A6F" w:rsidP="00773B36">
      <w:pPr>
        <w:ind w:left="720" w:hanging="720"/>
        <w:mirrorIndents/>
        <w:rPr>
          <w:rFonts w:cstheme="minorHAnsi"/>
        </w:rPr>
      </w:pPr>
      <w:r w:rsidRPr="00492CCC">
        <w:rPr>
          <w:rFonts w:cstheme="minorHAnsi"/>
          <w:color w:val="231F20"/>
        </w:rPr>
        <w:t xml:space="preserve">Hunn, V. (2014). African American students, retention, and team-based learning: A review of the literature and recommendations for retention at predominately White institutions. </w:t>
      </w:r>
      <w:r w:rsidRPr="00492CCC">
        <w:rPr>
          <w:rFonts w:cstheme="minorHAnsi"/>
          <w:i/>
          <w:color w:val="231F20"/>
        </w:rPr>
        <w:t xml:space="preserve">Journal of </w:t>
      </w:r>
      <w:bookmarkStart w:id="29" w:name="_bookmark36"/>
      <w:bookmarkEnd w:id="29"/>
      <w:r w:rsidRPr="00492CCC">
        <w:rPr>
          <w:rFonts w:cstheme="minorHAnsi"/>
          <w:i/>
          <w:color w:val="231F20"/>
        </w:rPr>
        <w:t>Black Studies</w:t>
      </w:r>
      <w:r w:rsidRPr="00492CCC">
        <w:rPr>
          <w:rFonts w:cstheme="minorHAnsi"/>
          <w:iCs/>
          <w:color w:val="231F20"/>
        </w:rPr>
        <w:t>,</w:t>
      </w:r>
      <w:r w:rsidRPr="00492CCC">
        <w:rPr>
          <w:rFonts w:cstheme="minorHAnsi"/>
          <w:i/>
          <w:color w:val="231F20"/>
        </w:rPr>
        <w:t xml:space="preserve"> 45</w:t>
      </w:r>
      <w:r w:rsidR="0008297E" w:rsidRPr="00492CCC">
        <w:rPr>
          <w:rFonts w:cstheme="minorHAnsi"/>
          <w:iCs/>
          <w:color w:val="231F20"/>
        </w:rPr>
        <w:t>(4)</w:t>
      </w:r>
      <w:r w:rsidRPr="00492CCC">
        <w:rPr>
          <w:rFonts w:cstheme="minorHAnsi"/>
          <w:iCs/>
          <w:color w:val="231F20"/>
        </w:rPr>
        <w:t>,</w:t>
      </w:r>
      <w:r w:rsidRPr="00492CCC">
        <w:rPr>
          <w:rFonts w:cstheme="minorHAnsi"/>
          <w:i/>
          <w:color w:val="231F20"/>
        </w:rPr>
        <w:t xml:space="preserve"> </w:t>
      </w:r>
      <w:r w:rsidRPr="00492CCC">
        <w:rPr>
          <w:rFonts w:cstheme="minorHAnsi"/>
          <w:color w:val="231F20"/>
        </w:rPr>
        <w:t xml:space="preserve">301–314. </w:t>
      </w:r>
      <w:hyperlink r:id="rId42">
        <w:r w:rsidR="0008297E" w:rsidRPr="00492CCC">
          <w:rPr>
            <w:rStyle w:val="Hyperlink"/>
            <w:rFonts w:cstheme="minorHAnsi"/>
          </w:rPr>
          <w:t>http://www</w:t>
        </w:r>
      </w:hyperlink>
      <w:bookmarkStart w:id="30" w:name="_bookmark38"/>
      <w:bookmarkEnd w:id="30"/>
      <w:r w:rsidR="0008297E" w:rsidRPr="00492CCC">
        <w:rPr>
          <w:rFonts w:cstheme="minorHAnsi"/>
          <w:color w:val="231F20"/>
        </w:rPr>
        <w:fldChar w:fldCharType="begin"/>
      </w:r>
      <w:r w:rsidR="0008297E" w:rsidRPr="00492CCC">
        <w:rPr>
          <w:rFonts w:cstheme="minorHAnsi"/>
          <w:color w:val="231F20"/>
        </w:rPr>
        <w:instrText xml:space="preserve"> HYPERLINK "http://www.jstor.org/stable/24572850" \h </w:instrText>
      </w:r>
      <w:r w:rsidR="0008297E" w:rsidRPr="00492CCC">
        <w:rPr>
          <w:rFonts w:cstheme="minorHAnsi"/>
          <w:color w:val="231F20"/>
        </w:rPr>
      </w:r>
      <w:r w:rsidR="0008297E" w:rsidRPr="00492CCC">
        <w:rPr>
          <w:rFonts w:cstheme="minorHAnsi"/>
          <w:color w:val="231F20"/>
        </w:rPr>
        <w:fldChar w:fldCharType="separate"/>
      </w:r>
      <w:r w:rsidR="0008297E" w:rsidRPr="00492CCC">
        <w:rPr>
          <w:rStyle w:val="Hyperlink"/>
          <w:rFonts w:cstheme="minorHAnsi"/>
        </w:rPr>
        <w:t>.jstor.org/stable/24572850</w:t>
      </w:r>
      <w:r w:rsidR="0008297E" w:rsidRPr="00492CCC">
        <w:rPr>
          <w:rFonts w:cstheme="minorHAnsi"/>
          <w:color w:val="231F20"/>
        </w:rPr>
        <w:fldChar w:fldCharType="end"/>
      </w:r>
    </w:p>
    <w:p w14:paraId="7CADA719" w14:textId="359CF71A" w:rsidR="00124A6F" w:rsidRPr="00492CCC" w:rsidRDefault="00124A6F" w:rsidP="00773B36">
      <w:pPr>
        <w:ind w:left="720" w:hanging="720"/>
        <w:mirrorIndents/>
        <w:rPr>
          <w:rFonts w:cstheme="minorHAnsi"/>
        </w:rPr>
      </w:pPr>
      <w:r w:rsidRPr="00492CCC">
        <w:rPr>
          <w:rFonts w:cstheme="minorHAnsi"/>
          <w:color w:val="231F20"/>
        </w:rPr>
        <w:t xml:space="preserve">Hunter, M. A., &amp; May, R. B. (1993). Some myths concerning parametric and nonparametric tests. </w:t>
      </w:r>
      <w:r w:rsidRPr="00492CCC">
        <w:rPr>
          <w:rFonts w:cstheme="minorHAnsi"/>
          <w:i/>
          <w:color w:val="231F20"/>
        </w:rPr>
        <w:t>Canadian Psychology</w:t>
      </w:r>
      <w:r w:rsidRPr="00492CCC">
        <w:rPr>
          <w:rFonts w:cstheme="minorHAnsi"/>
          <w:iCs/>
          <w:color w:val="231F20"/>
        </w:rPr>
        <w:t>,</w:t>
      </w:r>
      <w:r w:rsidRPr="00492CCC">
        <w:rPr>
          <w:rFonts w:cstheme="minorHAnsi"/>
          <w:i/>
          <w:color w:val="231F20"/>
        </w:rPr>
        <w:t xml:space="preserve"> 34</w:t>
      </w:r>
      <w:r w:rsidR="0008297E" w:rsidRPr="00492CCC">
        <w:rPr>
          <w:rFonts w:cstheme="minorHAnsi"/>
          <w:iCs/>
          <w:color w:val="231F20"/>
        </w:rPr>
        <w:t>(4)</w:t>
      </w:r>
      <w:r w:rsidRPr="00492CCC">
        <w:rPr>
          <w:rFonts w:cstheme="minorHAnsi"/>
          <w:iCs/>
          <w:color w:val="231F20"/>
        </w:rPr>
        <w:t>,</w:t>
      </w:r>
      <w:r w:rsidRPr="00492CCC">
        <w:rPr>
          <w:rFonts w:cstheme="minorHAnsi"/>
          <w:i/>
          <w:color w:val="231F20"/>
        </w:rPr>
        <w:t xml:space="preserve"> </w:t>
      </w:r>
      <w:r w:rsidRPr="00492CCC">
        <w:rPr>
          <w:rFonts w:cstheme="minorHAnsi"/>
          <w:color w:val="231F20"/>
        </w:rPr>
        <w:t xml:space="preserve">384–389. </w:t>
      </w:r>
      <w:hyperlink r:id="rId43" w:history="1">
        <w:r w:rsidR="001A5F8C" w:rsidRPr="00492CCC">
          <w:rPr>
            <w:rStyle w:val="Hyperlink"/>
            <w:rFonts w:cstheme="minorHAnsi"/>
          </w:rPr>
          <w:t>https://doi.org/10.1037/h0078860</w:t>
        </w:r>
      </w:hyperlink>
      <w:r w:rsidR="001A5F8C" w:rsidRPr="00492CCC">
        <w:rPr>
          <w:rFonts w:cstheme="minorHAnsi"/>
          <w:color w:val="231F20"/>
        </w:rPr>
        <w:t xml:space="preserve"> </w:t>
      </w:r>
    </w:p>
    <w:p w14:paraId="2CF05FCC" w14:textId="10C59BDE" w:rsidR="00124A6F" w:rsidRPr="00492CCC" w:rsidRDefault="00124A6F" w:rsidP="00773B36">
      <w:pPr>
        <w:ind w:left="720" w:hanging="720"/>
        <w:mirrorIndents/>
        <w:rPr>
          <w:rFonts w:cstheme="minorHAnsi"/>
        </w:rPr>
      </w:pPr>
      <w:r w:rsidRPr="00492CCC">
        <w:rPr>
          <w:rFonts w:cstheme="minorHAnsi"/>
          <w:color w:val="231F20"/>
        </w:rPr>
        <w:t xml:space="preserve">Jimenez, T. R., Sánchez, B., McMahon, S. D., </w:t>
      </w:r>
      <w:bookmarkStart w:id="31" w:name="_bookmark40"/>
      <w:bookmarkEnd w:id="31"/>
      <w:r w:rsidRPr="00492CCC">
        <w:rPr>
          <w:rFonts w:cstheme="minorHAnsi"/>
          <w:color w:val="231F20"/>
        </w:rPr>
        <w:t xml:space="preserve">&amp; Viola, J. (2016). A vision for the future of community psychology education and training. </w:t>
      </w:r>
      <w:r w:rsidRPr="00492CCC">
        <w:rPr>
          <w:rFonts w:cstheme="minorHAnsi"/>
          <w:i/>
          <w:color w:val="231F20"/>
        </w:rPr>
        <w:t>American Journal of Community Psychology</w:t>
      </w:r>
      <w:r w:rsidRPr="00492CCC">
        <w:rPr>
          <w:rFonts w:cstheme="minorHAnsi"/>
          <w:iCs/>
          <w:color w:val="231F20"/>
        </w:rPr>
        <w:t>,</w:t>
      </w:r>
      <w:r w:rsidRPr="00492CCC">
        <w:rPr>
          <w:rFonts w:cstheme="minorHAnsi"/>
          <w:i/>
          <w:color w:val="231F20"/>
        </w:rPr>
        <w:t xml:space="preserve"> 58</w:t>
      </w:r>
      <w:r w:rsidR="0008297E" w:rsidRPr="00492CCC">
        <w:rPr>
          <w:rFonts w:cstheme="minorHAnsi"/>
          <w:iCs/>
          <w:color w:val="231F20"/>
        </w:rPr>
        <w:t>(3</w:t>
      </w:r>
      <w:r w:rsidR="00B30556" w:rsidRPr="00492CCC">
        <w:rPr>
          <w:rFonts w:cstheme="minorHAnsi"/>
          <w:color w:val="231F20"/>
        </w:rPr>
        <w:t>–</w:t>
      </w:r>
      <w:r w:rsidR="0008297E" w:rsidRPr="00492CCC">
        <w:rPr>
          <w:rFonts w:cstheme="minorHAnsi"/>
          <w:iCs/>
          <w:color w:val="231F20"/>
        </w:rPr>
        <w:t>4)</w:t>
      </w:r>
      <w:r w:rsidRPr="00492CCC">
        <w:rPr>
          <w:rFonts w:cstheme="minorHAnsi"/>
          <w:iCs/>
          <w:color w:val="231F20"/>
        </w:rPr>
        <w:t>,</w:t>
      </w:r>
      <w:r w:rsidRPr="00492CCC">
        <w:rPr>
          <w:rFonts w:cstheme="minorHAnsi"/>
          <w:i/>
          <w:color w:val="231F20"/>
        </w:rPr>
        <w:t xml:space="preserve"> </w:t>
      </w:r>
      <w:r w:rsidRPr="00492CCC">
        <w:rPr>
          <w:rFonts w:cstheme="minorHAnsi"/>
          <w:color w:val="231F20"/>
        </w:rPr>
        <w:t>339–</w:t>
      </w:r>
      <w:bookmarkStart w:id="32" w:name="_bookmark41"/>
      <w:bookmarkEnd w:id="32"/>
      <w:r w:rsidRPr="00492CCC">
        <w:rPr>
          <w:rFonts w:cstheme="minorHAnsi"/>
          <w:color w:val="231F20"/>
        </w:rPr>
        <w:t xml:space="preserve">347. </w:t>
      </w:r>
      <w:hyperlink r:id="rId44">
        <w:r w:rsidR="0008297E" w:rsidRPr="00492CCC">
          <w:rPr>
            <w:rStyle w:val="Hyperlink"/>
            <w:rFonts w:cstheme="minorHAnsi"/>
          </w:rPr>
          <w:t>https://doi.org/10.1002/ajcp.12079</w:t>
        </w:r>
      </w:hyperlink>
    </w:p>
    <w:p w14:paraId="1C97D660" w14:textId="493CA399" w:rsidR="00124A6F" w:rsidRPr="00492CCC" w:rsidRDefault="00124A6F" w:rsidP="00773B36">
      <w:pPr>
        <w:ind w:left="720" w:hanging="720"/>
        <w:mirrorIndents/>
        <w:rPr>
          <w:rFonts w:cstheme="minorHAnsi"/>
        </w:rPr>
      </w:pPr>
      <w:r w:rsidRPr="00492CCC">
        <w:rPr>
          <w:rFonts w:cstheme="minorHAnsi"/>
          <w:color w:val="231F20"/>
        </w:rPr>
        <w:lastRenderedPageBreak/>
        <w:t xml:space="preserve">Kloos, B., Hill, J., Thomas, E., </w:t>
      </w:r>
      <w:proofErr w:type="spellStart"/>
      <w:r w:rsidRPr="00492CCC">
        <w:rPr>
          <w:rFonts w:cstheme="minorHAnsi"/>
          <w:color w:val="231F20"/>
        </w:rPr>
        <w:t>Wandersman</w:t>
      </w:r>
      <w:proofErr w:type="spellEnd"/>
      <w:r w:rsidRPr="00492CCC">
        <w:rPr>
          <w:rFonts w:cstheme="minorHAnsi"/>
          <w:color w:val="231F20"/>
        </w:rPr>
        <w:t xml:space="preserve">, </w:t>
      </w:r>
      <w:bookmarkStart w:id="33" w:name="_bookmark43"/>
      <w:bookmarkEnd w:id="33"/>
      <w:r w:rsidRPr="00492CCC">
        <w:rPr>
          <w:rFonts w:cstheme="minorHAnsi"/>
          <w:color w:val="231F20"/>
        </w:rPr>
        <w:t xml:space="preserve">A., Elias, M., &amp; Dalton, J. H. (2012). </w:t>
      </w:r>
      <w:r w:rsidRPr="00492CCC">
        <w:rPr>
          <w:rFonts w:cstheme="minorHAnsi"/>
          <w:i/>
          <w:color w:val="231F20"/>
        </w:rPr>
        <w:t>Community psychology: Linking individuals and communities</w:t>
      </w:r>
      <w:bookmarkStart w:id="34" w:name="_bookmark42"/>
      <w:bookmarkEnd w:id="34"/>
      <w:r w:rsidRPr="00492CCC">
        <w:rPr>
          <w:rFonts w:cstheme="minorHAnsi"/>
          <w:i/>
          <w:color w:val="231F20"/>
        </w:rPr>
        <w:t xml:space="preserve"> </w:t>
      </w:r>
      <w:r w:rsidRPr="00492CCC">
        <w:rPr>
          <w:rFonts w:cstheme="minorHAnsi"/>
          <w:color w:val="231F20"/>
        </w:rPr>
        <w:t>(3rd ed.). Wadsworth.</w:t>
      </w:r>
    </w:p>
    <w:p w14:paraId="0807DC5F" w14:textId="492FB04B" w:rsidR="00124A6F" w:rsidRPr="00492CCC" w:rsidRDefault="00124A6F" w:rsidP="00773B36">
      <w:pPr>
        <w:ind w:left="720" w:hanging="720"/>
        <w:mirrorIndents/>
        <w:rPr>
          <w:rFonts w:cstheme="minorHAnsi"/>
        </w:rPr>
      </w:pPr>
      <w:r w:rsidRPr="00492CCC">
        <w:rPr>
          <w:rFonts w:cstheme="minorHAnsi"/>
          <w:color w:val="231F20"/>
        </w:rPr>
        <w:t xml:space="preserve">Lee, C. T., Beckert, T. E., &amp; Goodrich, T. R. </w:t>
      </w:r>
      <w:bookmarkStart w:id="35" w:name="_bookmark46"/>
      <w:bookmarkEnd w:id="35"/>
      <w:r w:rsidRPr="00492CCC">
        <w:rPr>
          <w:rFonts w:cstheme="minorHAnsi"/>
          <w:color w:val="231F20"/>
        </w:rPr>
        <w:t xml:space="preserve">(2010). The relationship between individualistic, collectivistic, and transitional cultural value orientations and adolescents’ autonomy and identity status. </w:t>
      </w:r>
      <w:r w:rsidRPr="00492CCC">
        <w:rPr>
          <w:rFonts w:cstheme="minorHAnsi"/>
          <w:i/>
          <w:color w:val="231F20"/>
        </w:rPr>
        <w:t>Journal of Youth and Adolescence</w:t>
      </w:r>
      <w:r w:rsidR="00AA3846" w:rsidRPr="00492CCC">
        <w:rPr>
          <w:rFonts w:cstheme="minorHAnsi"/>
          <w:color w:val="231F20"/>
        </w:rPr>
        <w:t>,</w:t>
      </w:r>
      <w:r w:rsidRPr="00492CCC">
        <w:rPr>
          <w:rFonts w:cstheme="minorHAnsi"/>
          <w:i/>
          <w:color w:val="231F20"/>
        </w:rPr>
        <w:t xml:space="preserve"> 39</w:t>
      </w:r>
      <w:r w:rsidR="00AA3846" w:rsidRPr="00492CCC">
        <w:rPr>
          <w:rFonts w:cstheme="minorHAnsi"/>
          <w:color w:val="231F20"/>
        </w:rPr>
        <w:t>,</w:t>
      </w:r>
      <w:r w:rsidRPr="00492CCC">
        <w:rPr>
          <w:rFonts w:cstheme="minorHAnsi"/>
          <w:i/>
          <w:color w:val="231F20"/>
        </w:rPr>
        <w:t xml:space="preserve"> </w:t>
      </w:r>
      <w:r w:rsidRPr="00492CCC">
        <w:rPr>
          <w:rFonts w:cstheme="minorHAnsi"/>
          <w:color w:val="231F20"/>
        </w:rPr>
        <w:t>882–</w:t>
      </w:r>
      <w:bookmarkStart w:id="36" w:name="_bookmark44"/>
      <w:bookmarkEnd w:id="36"/>
      <w:r w:rsidRPr="00492CCC">
        <w:rPr>
          <w:rFonts w:cstheme="minorHAnsi"/>
          <w:color w:val="231F20"/>
        </w:rPr>
        <w:t>893.</w:t>
      </w:r>
      <w:bookmarkStart w:id="37" w:name="_bookmark45"/>
      <w:bookmarkEnd w:id="37"/>
      <w:r w:rsidRPr="00492CCC">
        <w:rPr>
          <w:rFonts w:cstheme="minorHAnsi"/>
          <w:color w:val="231F20"/>
        </w:rPr>
        <w:t xml:space="preserve"> </w:t>
      </w:r>
      <w:hyperlink r:id="rId45">
        <w:r w:rsidR="0008297E" w:rsidRPr="00492CCC">
          <w:rPr>
            <w:rStyle w:val="Hyperlink"/>
            <w:rFonts w:cstheme="minorHAnsi"/>
          </w:rPr>
          <w:t>https://doi.org/10.1007/s10964-009-9430-z</w:t>
        </w:r>
      </w:hyperlink>
    </w:p>
    <w:p w14:paraId="309DE488" w14:textId="50C6FCBF" w:rsidR="00124A6F" w:rsidRPr="00492CCC" w:rsidRDefault="00124A6F" w:rsidP="00773B36">
      <w:pPr>
        <w:ind w:left="720" w:hanging="720"/>
        <w:mirrorIndents/>
        <w:rPr>
          <w:rFonts w:cstheme="minorHAnsi"/>
        </w:rPr>
      </w:pPr>
      <w:r w:rsidRPr="00492CCC">
        <w:rPr>
          <w:rFonts w:cstheme="minorHAnsi"/>
          <w:color w:val="231F20"/>
        </w:rPr>
        <w:t xml:space="preserve">Leong, F. T. L., &amp; Austin, J. T. (2006). </w:t>
      </w:r>
      <w:r w:rsidRPr="00492CCC">
        <w:rPr>
          <w:rFonts w:cstheme="minorHAnsi"/>
          <w:i/>
          <w:color w:val="231F20"/>
        </w:rPr>
        <w:t>The psychology research handbook: A guide for graduate students and research assistants</w:t>
      </w:r>
      <w:r w:rsidRPr="00492CCC">
        <w:rPr>
          <w:rFonts w:cstheme="minorHAnsi"/>
          <w:color w:val="231F20"/>
        </w:rPr>
        <w:t xml:space="preserve">. </w:t>
      </w:r>
      <w:r w:rsidR="00B67E48" w:rsidRPr="00492CCC">
        <w:rPr>
          <w:rFonts w:cstheme="minorHAnsi"/>
          <w:color w:val="231F20"/>
        </w:rPr>
        <w:t>SAGE Publications</w:t>
      </w:r>
      <w:r w:rsidRPr="00492CCC">
        <w:rPr>
          <w:rFonts w:cstheme="minorHAnsi"/>
          <w:color w:val="231F20"/>
        </w:rPr>
        <w:t>.</w:t>
      </w:r>
    </w:p>
    <w:p w14:paraId="3454FBD7" w14:textId="0AE6FBDB" w:rsidR="00124A6F" w:rsidRPr="00492CCC" w:rsidRDefault="00124A6F" w:rsidP="00773B36">
      <w:pPr>
        <w:ind w:left="720" w:hanging="720"/>
        <w:mirrorIndents/>
        <w:rPr>
          <w:rFonts w:cstheme="minorHAnsi"/>
          <w:color w:val="231F20"/>
        </w:rPr>
      </w:pPr>
      <w:r w:rsidRPr="00492CCC">
        <w:rPr>
          <w:rFonts w:cstheme="minorHAnsi"/>
          <w:color w:val="231F20"/>
        </w:rPr>
        <w:t xml:space="preserve">Lichty, L. F., </w:t>
      </w:r>
      <w:proofErr w:type="spellStart"/>
      <w:r w:rsidRPr="00492CCC">
        <w:rPr>
          <w:rFonts w:cstheme="minorHAnsi"/>
          <w:color w:val="231F20"/>
        </w:rPr>
        <w:t>Palamaro</w:t>
      </w:r>
      <w:proofErr w:type="spellEnd"/>
      <w:r w:rsidRPr="00492CCC">
        <w:rPr>
          <w:rFonts w:cstheme="minorHAnsi"/>
          <w:color w:val="231F20"/>
        </w:rPr>
        <w:t xml:space="preserve">-Munsell, E., &amp; Wallin- Ruschman, J. (2019). Introduction to the special issue: Developing undergraduate community </w:t>
      </w:r>
      <w:bookmarkStart w:id="38" w:name="_bookmark48"/>
      <w:bookmarkEnd w:id="38"/>
      <w:r w:rsidRPr="00492CCC">
        <w:rPr>
          <w:rFonts w:cstheme="minorHAnsi"/>
          <w:color w:val="231F20"/>
        </w:rPr>
        <w:t xml:space="preserve">psychology pedagogy and research practice. </w:t>
      </w:r>
      <w:r w:rsidRPr="00492CCC">
        <w:rPr>
          <w:rFonts w:cstheme="minorHAnsi"/>
          <w:i/>
          <w:color w:val="231F20"/>
        </w:rPr>
        <w:t>Global Journal of Community Psychology Practice</w:t>
      </w:r>
      <w:r w:rsidR="00B67E48" w:rsidRPr="00492CCC">
        <w:rPr>
          <w:rFonts w:cstheme="minorHAnsi"/>
          <w:iCs/>
          <w:color w:val="231F20"/>
        </w:rPr>
        <w:t xml:space="preserve">, </w:t>
      </w:r>
      <w:r w:rsidR="00B67E48" w:rsidRPr="00492CCC">
        <w:rPr>
          <w:rFonts w:cstheme="minorHAnsi"/>
          <w:i/>
          <w:color w:val="231F20"/>
        </w:rPr>
        <w:t>10</w:t>
      </w:r>
      <w:r w:rsidR="00B67E48" w:rsidRPr="00492CCC">
        <w:rPr>
          <w:rFonts w:cstheme="minorHAnsi"/>
          <w:iCs/>
          <w:color w:val="231F20"/>
        </w:rPr>
        <w:t>(1), 1</w:t>
      </w:r>
      <w:r w:rsidR="00B67E48" w:rsidRPr="00492CCC">
        <w:rPr>
          <w:rFonts w:cstheme="minorHAnsi"/>
          <w:color w:val="231F20"/>
        </w:rPr>
        <w:t>–</w:t>
      </w:r>
      <w:r w:rsidR="00B67E48" w:rsidRPr="00492CCC">
        <w:rPr>
          <w:rFonts w:cstheme="minorHAnsi"/>
          <w:iCs/>
          <w:color w:val="231F20"/>
        </w:rPr>
        <w:t xml:space="preserve">7. </w:t>
      </w:r>
      <w:hyperlink r:id="rId46" w:history="1">
        <w:r w:rsidR="00B67E48" w:rsidRPr="00492CCC">
          <w:rPr>
            <w:rStyle w:val="Hyperlink"/>
          </w:rPr>
          <w:t>https://www.gjcpp.org/pdfs/Lichty,%20Palamaro-Munsell,%20_%20Wallin-Ruschman-Editor_s%20Note.pdf</w:t>
        </w:r>
      </w:hyperlink>
      <w:r w:rsidR="00B67E48" w:rsidRPr="00492CCC">
        <w:t xml:space="preserve"> </w:t>
      </w:r>
    </w:p>
    <w:p w14:paraId="3B4E370E" w14:textId="7F5448F0" w:rsidR="00124A6F" w:rsidRPr="00492CCC" w:rsidRDefault="00124A6F" w:rsidP="00773B36">
      <w:pPr>
        <w:ind w:left="720" w:hanging="720"/>
        <w:mirrorIndents/>
        <w:rPr>
          <w:rFonts w:cstheme="minorHAnsi"/>
        </w:rPr>
      </w:pPr>
      <w:r w:rsidRPr="00492CCC">
        <w:rPr>
          <w:rFonts w:cstheme="minorHAnsi"/>
          <w:color w:val="231F20"/>
        </w:rPr>
        <w:t xml:space="preserve">Lott, B., &amp; Rogers, M. R. (2011). Ethnicity matters for undergraduate majors in challenges, </w:t>
      </w:r>
      <w:bookmarkStart w:id="39" w:name="_bookmark50"/>
      <w:bookmarkEnd w:id="39"/>
      <w:r w:rsidRPr="00492CCC">
        <w:rPr>
          <w:rFonts w:cstheme="minorHAnsi"/>
          <w:color w:val="231F20"/>
        </w:rPr>
        <w:t xml:space="preserve">experiences, and perceptions of psychology. </w:t>
      </w:r>
      <w:r w:rsidRPr="00492CCC">
        <w:rPr>
          <w:rFonts w:cstheme="minorHAnsi"/>
          <w:i/>
          <w:color w:val="231F20"/>
        </w:rPr>
        <w:t>Cultural Diversity &amp; Ethnic Minority Psychology</w:t>
      </w:r>
      <w:r w:rsidRPr="00492CCC">
        <w:rPr>
          <w:rFonts w:cstheme="minorHAnsi"/>
          <w:iCs/>
          <w:color w:val="231F20"/>
        </w:rPr>
        <w:t>,</w:t>
      </w:r>
      <w:r w:rsidRPr="00492CCC">
        <w:rPr>
          <w:rFonts w:cstheme="minorHAnsi"/>
          <w:i/>
          <w:color w:val="231F20"/>
        </w:rPr>
        <w:t xml:space="preserve"> 17</w:t>
      </w:r>
      <w:r w:rsidR="0008297E" w:rsidRPr="00492CCC">
        <w:rPr>
          <w:rFonts w:cstheme="minorHAnsi"/>
          <w:iCs/>
          <w:color w:val="231F20"/>
        </w:rPr>
        <w:t>(2)</w:t>
      </w:r>
      <w:r w:rsidRPr="00492CCC">
        <w:rPr>
          <w:rFonts w:cstheme="minorHAnsi"/>
          <w:iCs/>
          <w:color w:val="231F20"/>
        </w:rPr>
        <w:t>,</w:t>
      </w:r>
      <w:r w:rsidRPr="00492CCC">
        <w:rPr>
          <w:rFonts w:cstheme="minorHAnsi"/>
          <w:i/>
          <w:color w:val="231F20"/>
        </w:rPr>
        <w:t xml:space="preserve"> </w:t>
      </w:r>
      <w:r w:rsidRPr="00492CCC">
        <w:rPr>
          <w:rFonts w:cstheme="minorHAnsi"/>
          <w:color w:val="231F20"/>
        </w:rPr>
        <w:t xml:space="preserve">204–210. </w:t>
      </w:r>
      <w:hyperlink r:id="rId47">
        <w:r w:rsidR="0008297E" w:rsidRPr="00492CCC">
          <w:rPr>
            <w:rStyle w:val="Hyperlink"/>
            <w:rFonts w:cstheme="minorHAnsi"/>
          </w:rPr>
          <w:t>https://doi.org/10.1037/a0023673</w:t>
        </w:r>
      </w:hyperlink>
    </w:p>
    <w:p w14:paraId="63086BE4" w14:textId="5BEE0E24" w:rsidR="00124A6F" w:rsidRPr="00492CCC" w:rsidRDefault="00124A6F" w:rsidP="00773B36">
      <w:pPr>
        <w:ind w:left="720" w:hanging="720"/>
        <w:mirrorIndents/>
        <w:rPr>
          <w:rFonts w:cstheme="minorHAnsi"/>
        </w:rPr>
      </w:pPr>
      <w:r w:rsidRPr="00492CCC">
        <w:rPr>
          <w:rFonts w:cstheme="minorHAnsi"/>
          <w:color w:val="231F20"/>
        </w:rPr>
        <w:t xml:space="preserve">McAuliff, K. E., Williams, S. M., &amp; Ferrari, J. R. (2013). Social justice and the university community: Does campus involvement make a difference? </w:t>
      </w:r>
      <w:r w:rsidRPr="00492CCC">
        <w:rPr>
          <w:rFonts w:cstheme="minorHAnsi"/>
          <w:i/>
          <w:color w:val="231F20"/>
        </w:rPr>
        <w:t>Journal of Prevention &amp; Intervention in the Community</w:t>
      </w:r>
      <w:r w:rsidRPr="00492CCC">
        <w:rPr>
          <w:rFonts w:cstheme="minorHAnsi"/>
          <w:iCs/>
          <w:color w:val="231F20"/>
        </w:rPr>
        <w:t>,</w:t>
      </w:r>
      <w:r w:rsidRPr="00492CCC">
        <w:rPr>
          <w:rFonts w:cstheme="minorHAnsi"/>
          <w:i/>
          <w:color w:val="231F20"/>
        </w:rPr>
        <w:t xml:space="preserve"> 41</w:t>
      </w:r>
      <w:r w:rsidR="0008297E" w:rsidRPr="00492CCC">
        <w:rPr>
          <w:rFonts w:cstheme="minorHAnsi"/>
          <w:iCs/>
          <w:color w:val="231F20"/>
        </w:rPr>
        <w:t>(4)</w:t>
      </w:r>
      <w:r w:rsidRPr="00492CCC">
        <w:rPr>
          <w:rFonts w:cstheme="minorHAnsi"/>
          <w:iCs/>
          <w:color w:val="231F20"/>
        </w:rPr>
        <w:t>,</w:t>
      </w:r>
      <w:r w:rsidRPr="00492CCC">
        <w:rPr>
          <w:rFonts w:cstheme="minorHAnsi"/>
          <w:i/>
          <w:color w:val="231F20"/>
        </w:rPr>
        <w:t xml:space="preserve"> </w:t>
      </w:r>
      <w:r w:rsidRPr="00492CCC">
        <w:rPr>
          <w:rFonts w:cstheme="minorHAnsi"/>
          <w:color w:val="231F20"/>
        </w:rPr>
        <w:t xml:space="preserve">244–254. </w:t>
      </w:r>
      <w:hyperlink r:id="rId48">
        <w:r w:rsidR="0008297E" w:rsidRPr="00492CCC">
          <w:rPr>
            <w:rStyle w:val="Hyperlink"/>
            <w:rFonts w:cstheme="minorHAnsi"/>
          </w:rPr>
          <w:t>https://doi.org/10</w:t>
        </w:r>
      </w:hyperlink>
      <w:hyperlink r:id="rId49">
        <w:r w:rsidR="0008297E" w:rsidRPr="00492CCC">
          <w:rPr>
            <w:rStyle w:val="Hyperlink"/>
            <w:rFonts w:cstheme="minorHAnsi"/>
          </w:rPr>
          <w:t>.1080/10852352.2013.818486</w:t>
        </w:r>
      </w:hyperlink>
    </w:p>
    <w:p w14:paraId="551FEBE9" w14:textId="61AD8F24" w:rsidR="00124A6F" w:rsidRPr="00492CCC" w:rsidRDefault="00124A6F" w:rsidP="00773B36">
      <w:pPr>
        <w:ind w:left="720" w:hanging="720"/>
        <w:mirrorIndents/>
        <w:rPr>
          <w:rFonts w:cstheme="minorHAnsi"/>
        </w:rPr>
      </w:pPr>
      <w:r w:rsidRPr="00492CCC">
        <w:rPr>
          <w:rFonts w:cstheme="minorHAnsi"/>
          <w:color w:val="231F20"/>
        </w:rPr>
        <w:t xml:space="preserve">McCabe, P. C., &amp; Rubinson, F. (2008). Committing to social justice: The behavioral intention of </w:t>
      </w:r>
      <w:r w:rsidR="00B67E48" w:rsidRPr="00492CCC">
        <w:rPr>
          <w:rFonts w:cstheme="minorHAnsi"/>
          <w:color w:val="231F20"/>
        </w:rPr>
        <w:t>s</w:t>
      </w:r>
      <w:r w:rsidRPr="00492CCC">
        <w:rPr>
          <w:rFonts w:cstheme="minorHAnsi"/>
          <w:color w:val="231F20"/>
        </w:rPr>
        <w:t xml:space="preserve">chool </w:t>
      </w:r>
      <w:r w:rsidR="00B67E48" w:rsidRPr="00492CCC">
        <w:rPr>
          <w:rFonts w:cstheme="minorHAnsi"/>
          <w:color w:val="231F20"/>
        </w:rPr>
        <w:t>ps</w:t>
      </w:r>
      <w:r w:rsidRPr="00492CCC">
        <w:rPr>
          <w:rFonts w:cstheme="minorHAnsi"/>
          <w:color w:val="231F20"/>
        </w:rPr>
        <w:t xml:space="preserve">ychology and </w:t>
      </w:r>
      <w:r w:rsidR="00B67E48" w:rsidRPr="00492CCC">
        <w:rPr>
          <w:rFonts w:cstheme="minorHAnsi"/>
          <w:color w:val="231F20"/>
        </w:rPr>
        <w:t>ed</w:t>
      </w:r>
      <w:r w:rsidRPr="00492CCC">
        <w:rPr>
          <w:rFonts w:cstheme="minorHAnsi"/>
          <w:color w:val="231F20"/>
        </w:rPr>
        <w:t xml:space="preserve">ucation trainees to advocate for lesbian, gay, bisexual, and transgendered youth. </w:t>
      </w:r>
      <w:r w:rsidRPr="00492CCC">
        <w:rPr>
          <w:rFonts w:cstheme="minorHAnsi"/>
          <w:i/>
          <w:color w:val="231F20"/>
        </w:rPr>
        <w:t>School Psychology Review</w:t>
      </w:r>
      <w:r w:rsidR="00AA3846" w:rsidRPr="00492CCC">
        <w:rPr>
          <w:rFonts w:cstheme="minorHAnsi"/>
          <w:color w:val="231F20"/>
        </w:rPr>
        <w:t>,</w:t>
      </w:r>
      <w:r w:rsidRPr="00492CCC">
        <w:rPr>
          <w:rFonts w:cstheme="minorHAnsi"/>
          <w:i/>
          <w:color w:val="231F20"/>
        </w:rPr>
        <w:t xml:space="preserve"> 37</w:t>
      </w:r>
      <w:r w:rsidR="00B67E48" w:rsidRPr="00492CCC">
        <w:rPr>
          <w:rFonts w:cstheme="minorHAnsi"/>
          <w:iCs/>
          <w:color w:val="231F20"/>
        </w:rPr>
        <w:t>(4)</w:t>
      </w:r>
      <w:r w:rsidR="00AA3846" w:rsidRPr="00492CCC">
        <w:rPr>
          <w:rFonts w:cstheme="minorHAnsi"/>
          <w:color w:val="231F20"/>
        </w:rPr>
        <w:t>,</w:t>
      </w:r>
      <w:r w:rsidRPr="00492CCC">
        <w:rPr>
          <w:rFonts w:cstheme="minorHAnsi"/>
          <w:i/>
          <w:color w:val="231F20"/>
        </w:rPr>
        <w:t xml:space="preserve"> </w:t>
      </w:r>
      <w:r w:rsidRPr="00492CCC">
        <w:rPr>
          <w:rFonts w:cstheme="minorHAnsi"/>
          <w:color w:val="231F20"/>
        </w:rPr>
        <w:t>469–486.</w:t>
      </w:r>
    </w:p>
    <w:p w14:paraId="4CCA0D1C" w14:textId="30B32C37" w:rsidR="00124A6F" w:rsidRPr="00492CCC" w:rsidRDefault="00124A6F" w:rsidP="00773B36">
      <w:pPr>
        <w:ind w:left="720" w:hanging="720"/>
        <w:mirrorIndents/>
        <w:rPr>
          <w:rFonts w:cstheme="minorHAnsi"/>
        </w:rPr>
      </w:pPr>
      <w:r w:rsidRPr="00492CCC">
        <w:rPr>
          <w:rFonts w:cstheme="minorHAnsi"/>
          <w:color w:val="231F20"/>
        </w:rPr>
        <w:lastRenderedPageBreak/>
        <w:t xml:space="preserve">McClintock, C. G., &amp; Allison, S. T. (1989). Social value orientation and </w:t>
      </w:r>
      <w:proofErr w:type="gramStart"/>
      <w:r w:rsidRPr="00492CCC">
        <w:rPr>
          <w:rFonts w:cstheme="minorHAnsi"/>
          <w:color w:val="231F20"/>
        </w:rPr>
        <w:t>helping</w:t>
      </w:r>
      <w:proofErr w:type="gramEnd"/>
      <w:r w:rsidRPr="00492CCC">
        <w:rPr>
          <w:rFonts w:cstheme="minorHAnsi"/>
          <w:color w:val="231F20"/>
        </w:rPr>
        <w:t xml:space="preserve"> behavior. </w:t>
      </w:r>
      <w:r w:rsidRPr="00492CCC">
        <w:rPr>
          <w:rFonts w:cstheme="minorHAnsi"/>
          <w:i/>
          <w:color w:val="231F20"/>
        </w:rPr>
        <w:t>Journal of Applied Social Psychology</w:t>
      </w:r>
      <w:r w:rsidRPr="00492CCC">
        <w:rPr>
          <w:rFonts w:cstheme="minorHAnsi"/>
          <w:iCs/>
          <w:color w:val="231F20"/>
        </w:rPr>
        <w:t xml:space="preserve">, </w:t>
      </w:r>
      <w:r w:rsidRPr="00492CCC">
        <w:rPr>
          <w:rFonts w:cstheme="minorHAnsi"/>
          <w:i/>
          <w:color w:val="231F20"/>
        </w:rPr>
        <w:t>19</w:t>
      </w:r>
      <w:r w:rsidR="0008297E" w:rsidRPr="00492CCC">
        <w:rPr>
          <w:rFonts w:cstheme="minorHAnsi"/>
          <w:iCs/>
          <w:color w:val="231F20"/>
        </w:rPr>
        <w:t>(4)</w:t>
      </w:r>
      <w:r w:rsidRPr="00492CCC">
        <w:rPr>
          <w:rFonts w:cstheme="minorHAnsi"/>
          <w:iCs/>
          <w:color w:val="231F20"/>
        </w:rPr>
        <w:t>,</w:t>
      </w:r>
      <w:r w:rsidRPr="00492CCC">
        <w:rPr>
          <w:rFonts w:cstheme="minorHAnsi"/>
          <w:i/>
          <w:color w:val="231F20"/>
        </w:rPr>
        <w:t xml:space="preserve"> </w:t>
      </w:r>
      <w:r w:rsidRPr="00492CCC">
        <w:rPr>
          <w:rFonts w:cstheme="minorHAnsi"/>
          <w:color w:val="231F20"/>
        </w:rPr>
        <w:t xml:space="preserve">353–362. </w:t>
      </w:r>
      <w:hyperlink r:id="rId50" w:history="1">
        <w:r w:rsidR="001A5F8C" w:rsidRPr="00492CCC">
          <w:rPr>
            <w:rStyle w:val="Hyperlink"/>
            <w:rFonts w:cstheme="minorHAnsi"/>
          </w:rPr>
          <w:t>https://doi.org/10.1111/j.1559-1816.1989.tb00060.x</w:t>
        </w:r>
      </w:hyperlink>
      <w:r w:rsidR="001A5F8C" w:rsidRPr="00492CCC">
        <w:rPr>
          <w:rFonts w:cstheme="minorHAnsi"/>
          <w:color w:val="231F20"/>
        </w:rPr>
        <w:t xml:space="preserve"> </w:t>
      </w:r>
    </w:p>
    <w:p w14:paraId="1FF384E5" w14:textId="07F90B67" w:rsidR="00124A6F" w:rsidRPr="00492CCC" w:rsidRDefault="00124A6F" w:rsidP="00773B36">
      <w:pPr>
        <w:ind w:left="720" w:hanging="720"/>
        <w:mirrorIndents/>
        <w:rPr>
          <w:rFonts w:cstheme="minorHAnsi"/>
        </w:rPr>
      </w:pPr>
      <w:r w:rsidRPr="00492CCC">
        <w:rPr>
          <w:rFonts w:cstheme="minorHAnsi"/>
          <w:color w:val="231F20"/>
        </w:rPr>
        <w:t xml:space="preserve">McGee, E., &amp; Bentley, L. (2017). The equity ethic: Black and Latinx college students reengineering their STEM careers toward justice. </w:t>
      </w:r>
      <w:r w:rsidRPr="00492CCC">
        <w:rPr>
          <w:rFonts w:cstheme="minorHAnsi"/>
          <w:i/>
          <w:color w:val="231F20"/>
        </w:rPr>
        <w:t>American Journal of Education</w:t>
      </w:r>
      <w:r w:rsidRPr="00492CCC">
        <w:rPr>
          <w:rFonts w:cstheme="minorHAnsi"/>
          <w:iCs/>
          <w:color w:val="231F20"/>
        </w:rPr>
        <w:t>,</w:t>
      </w:r>
      <w:r w:rsidRPr="00492CCC">
        <w:rPr>
          <w:rFonts w:cstheme="minorHAnsi"/>
          <w:i/>
          <w:color w:val="231F20"/>
        </w:rPr>
        <w:t xml:space="preserve"> 124</w:t>
      </w:r>
      <w:r w:rsidR="0008297E" w:rsidRPr="00492CCC">
        <w:rPr>
          <w:rFonts w:cstheme="minorHAnsi"/>
          <w:iCs/>
          <w:color w:val="231F20"/>
        </w:rPr>
        <w:t>(1)</w:t>
      </w:r>
      <w:r w:rsidRPr="00492CCC">
        <w:rPr>
          <w:rFonts w:cstheme="minorHAnsi"/>
          <w:iCs/>
          <w:color w:val="231F20"/>
        </w:rPr>
        <w:t>,</w:t>
      </w:r>
      <w:r w:rsidRPr="00492CCC">
        <w:rPr>
          <w:rFonts w:cstheme="minorHAnsi"/>
          <w:i/>
          <w:color w:val="231F20"/>
        </w:rPr>
        <w:t xml:space="preserve"> </w:t>
      </w:r>
      <w:r w:rsidRPr="00492CCC">
        <w:rPr>
          <w:rFonts w:cstheme="minorHAnsi"/>
          <w:color w:val="231F20"/>
        </w:rPr>
        <w:t xml:space="preserve">1–36. </w:t>
      </w:r>
      <w:hyperlink r:id="rId51">
        <w:r w:rsidR="0008297E" w:rsidRPr="00492CCC">
          <w:rPr>
            <w:rStyle w:val="Hyperlink"/>
          </w:rPr>
          <w:t>https://doi.org/10</w:t>
        </w:r>
      </w:hyperlink>
      <w:hyperlink r:id="rId52">
        <w:r w:rsidR="0008297E" w:rsidRPr="00492CCC">
          <w:rPr>
            <w:rStyle w:val="Hyperlink"/>
          </w:rPr>
          <w:t>.1086/693954</w:t>
        </w:r>
      </w:hyperlink>
    </w:p>
    <w:p w14:paraId="53AFA4CE" w14:textId="7414BA38" w:rsidR="00124A6F" w:rsidRPr="00492CCC" w:rsidRDefault="00124A6F" w:rsidP="00773B36">
      <w:pPr>
        <w:ind w:left="720" w:hanging="720"/>
        <w:mirrorIndents/>
        <w:rPr>
          <w:rFonts w:cstheme="minorHAnsi"/>
        </w:rPr>
      </w:pPr>
      <w:r w:rsidRPr="00492CCC">
        <w:rPr>
          <w:rFonts w:cstheme="minorHAnsi"/>
          <w:color w:val="231F20"/>
        </w:rPr>
        <w:t xml:space="preserve">McInerney, P. (2012). Rediscovering discourses of social justice: Making hope practical. In B. Down &amp; J. Smyth (Eds.), </w:t>
      </w:r>
      <w:r w:rsidRPr="00492CCC">
        <w:rPr>
          <w:rFonts w:cstheme="minorHAnsi"/>
          <w:i/>
          <w:color w:val="231F20"/>
        </w:rPr>
        <w:t xml:space="preserve">Critical voices in teacher education: Exploration of educational purpose </w:t>
      </w:r>
      <w:r w:rsidRPr="00492CCC">
        <w:rPr>
          <w:rFonts w:cstheme="minorHAnsi"/>
          <w:color w:val="231F20"/>
        </w:rPr>
        <w:t xml:space="preserve">(pp. 27–43). Springer. </w:t>
      </w:r>
      <w:hyperlink r:id="rId53" w:history="1">
        <w:r w:rsidR="001A5F8C" w:rsidRPr="00492CCC">
          <w:rPr>
            <w:rStyle w:val="Hyperlink"/>
            <w:rFonts w:cstheme="minorHAnsi"/>
          </w:rPr>
          <w:t>https://doi.org/10.1007/978-94-007-3974-1_3</w:t>
        </w:r>
      </w:hyperlink>
      <w:r w:rsidR="001A5F8C" w:rsidRPr="00492CCC">
        <w:rPr>
          <w:rFonts w:cstheme="minorHAnsi"/>
          <w:color w:val="231F20"/>
        </w:rPr>
        <w:t xml:space="preserve"> </w:t>
      </w:r>
    </w:p>
    <w:p w14:paraId="145256DE" w14:textId="6D523240" w:rsidR="00124A6F" w:rsidRPr="00492CCC" w:rsidRDefault="00124A6F" w:rsidP="00773B36">
      <w:pPr>
        <w:ind w:left="720" w:hanging="720"/>
        <w:mirrorIndents/>
        <w:rPr>
          <w:rFonts w:cstheme="minorHAnsi"/>
        </w:rPr>
      </w:pPr>
      <w:r w:rsidRPr="00492CCC">
        <w:rPr>
          <w:rFonts w:cstheme="minorHAnsi"/>
          <w:color w:val="231F20"/>
        </w:rPr>
        <w:t xml:space="preserve">Messick, D. M., &amp; McClintock, C. G. (1968). Motivational bases of choice in experimental games. </w:t>
      </w:r>
      <w:r w:rsidRPr="00492CCC">
        <w:rPr>
          <w:rFonts w:cstheme="minorHAnsi"/>
          <w:i/>
          <w:color w:val="231F20"/>
        </w:rPr>
        <w:t>Journal of Experimental Social Psychology</w:t>
      </w:r>
      <w:r w:rsidRPr="00492CCC">
        <w:rPr>
          <w:rFonts w:cstheme="minorHAnsi"/>
          <w:iCs/>
          <w:color w:val="231F20"/>
        </w:rPr>
        <w:t xml:space="preserve">, </w:t>
      </w:r>
      <w:r w:rsidRPr="00492CCC">
        <w:rPr>
          <w:rFonts w:cstheme="minorHAnsi"/>
          <w:i/>
          <w:color w:val="231F20"/>
        </w:rPr>
        <w:t>4</w:t>
      </w:r>
      <w:r w:rsidR="0008297E" w:rsidRPr="00492CCC">
        <w:rPr>
          <w:rFonts w:cstheme="minorHAnsi"/>
          <w:iCs/>
          <w:color w:val="231F20"/>
        </w:rPr>
        <w:t>(1)</w:t>
      </w:r>
      <w:r w:rsidRPr="00492CCC">
        <w:rPr>
          <w:rFonts w:cstheme="minorHAnsi"/>
          <w:iCs/>
          <w:color w:val="231F20"/>
        </w:rPr>
        <w:t>,</w:t>
      </w:r>
      <w:r w:rsidRPr="00492CCC">
        <w:rPr>
          <w:rFonts w:cstheme="minorHAnsi"/>
          <w:i/>
          <w:color w:val="231F20"/>
        </w:rPr>
        <w:t xml:space="preserve"> </w:t>
      </w:r>
      <w:r w:rsidR="0008297E" w:rsidRPr="00492CCC">
        <w:rPr>
          <w:rFonts w:cstheme="minorHAnsi"/>
          <w:color w:val="231F20"/>
        </w:rPr>
        <w:t>1</w:t>
      </w:r>
      <w:r w:rsidRPr="00492CCC">
        <w:rPr>
          <w:rFonts w:cstheme="minorHAnsi"/>
          <w:color w:val="231F20"/>
        </w:rPr>
        <w:t xml:space="preserve">–25. </w:t>
      </w:r>
      <w:hyperlink r:id="rId54">
        <w:r w:rsidR="0008297E" w:rsidRPr="00492CCC">
          <w:rPr>
            <w:rStyle w:val="Hyperlink"/>
            <w:rFonts w:cstheme="minorHAnsi"/>
          </w:rPr>
          <w:t>https://doi.org/10.1016/0022-1031(68)</w:t>
        </w:r>
      </w:hyperlink>
      <w:hyperlink r:id="rId55">
        <w:r w:rsidR="0008297E" w:rsidRPr="00492CCC">
          <w:rPr>
            <w:rStyle w:val="Hyperlink"/>
            <w:rFonts w:cstheme="minorHAnsi"/>
          </w:rPr>
          <w:t>90046-2</w:t>
        </w:r>
      </w:hyperlink>
    </w:p>
    <w:p w14:paraId="7E4400C2" w14:textId="2C1BE7B0" w:rsidR="009D7951" w:rsidRPr="00492CCC" w:rsidRDefault="00124A6F" w:rsidP="00773B36">
      <w:pPr>
        <w:ind w:left="720" w:hanging="720"/>
        <w:mirrorIndents/>
      </w:pPr>
      <w:r w:rsidRPr="00492CCC">
        <w:rPr>
          <w:rFonts w:cstheme="minorHAnsi"/>
          <w:color w:val="231F20"/>
        </w:rPr>
        <w:t>Mitchell, T. D. (2007). Critical service-learning as social justice education: A case study of the citizen</w:t>
      </w:r>
      <w:r w:rsidR="00B67E48" w:rsidRPr="00492CCC">
        <w:rPr>
          <w:rFonts w:cstheme="minorHAnsi"/>
          <w:color w:val="231F20"/>
        </w:rPr>
        <w:t xml:space="preserve"> </w:t>
      </w:r>
      <w:proofErr w:type="gramStart"/>
      <w:r w:rsidRPr="00492CCC">
        <w:rPr>
          <w:rFonts w:cstheme="minorHAnsi"/>
          <w:color w:val="231F20"/>
        </w:rPr>
        <w:t>scholars</w:t>
      </w:r>
      <w:proofErr w:type="gramEnd"/>
      <w:r w:rsidRPr="00492CCC">
        <w:rPr>
          <w:rFonts w:cstheme="minorHAnsi"/>
          <w:color w:val="231F20"/>
        </w:rPr>
        <w:t xml:space="preserve"> program. </w:t>
      </w:r>
      <w:r w:rsidRPr="00492CCC">
        <w:rPr>
          <w:rFonts w:cstheme="minorHAnsi"/>
          <w:i/>
          <w:color w:val="231F20"/>
        </w:rPr>
        <w:t>Equity &amp; Excellence in Education</w:t>
      </w:r>
      <w:r w:rsidRPr="00492CCC">
        <w:rPr>
          <w:rFonts w:cstheme="minorHAnsi"/>
          <w:iCs/>
          <w:color w:val="231F20"/>
        </w:rPr>
        <w:t>,</w:t>
      </w:r>
      <w:r w:rsidRPr="00492CCC">
        <w:rPr>
          <w:rFonts w:cstheme="minorHAnsi"/>
          <w:i/>
          <w:color w:val="231F20"/>
        </w:rPr>
        <w:t xml:space="preserve"> 40</w:t>
      </w:r>
      <w:r w:rsidR="009D7951" w:rsidRPr="00492CCC">
        <w:rPr>
          <w:rFonts w:cstheme="minorHAnsi"/>
          <w:iCs/>
          <w:color w:val="231F20"/>
        </w:rPr>
        <w:t>(2)</w:t>
      </w:r>
      <w:r w:rsidRPr="00492CCC">
        <w:rPr>
          <w:rFonts w:cstheme="minorHAnsi"/>
          <w:iCs/>
          <w:color w:val="231F20"/>
        </w:rPr>
        <w:t>,</w:t>
      </w:r>
      <w:r w:rsidRPr="00492CCC">
        <w:rPr>
          <w:rFonts w:cstheme="minorHAnsi"/>
          <w:i/>
          <w:color w:val="231F20"/>
        </w:rPr>
        <w:t xml:space="preserve"> </w:t>
      </w:r>
      <w:r w:rsidRPr="00492CCC">
        <w:rPr>
          <w:rFonts w:cstheme="minorHAnsi"/>
          <w:color w:val="231F20"/>
        </w:rPr>
        <w:t xml:space="preserve">101–112. </w:t>
      </w:r>
      <w:hyperlink r:id="rId56">
        <w:r w:rsidR="009D7951" w:rsidRPr="00492CCC">
          <w:rPr>
            <w:rStyle w:val="Hyperlink"/>
          </w:rPr>
          <w:t>https://doi.org/10.1080/</w:t>
        </w:r>
      </w:hyperlink>
      <w:hyperlink r:id="rId57">
        <w:r w:rsidR="009D7951" w:rsidRPr="00492CCC">
          <w:rPr>
            <w:rStyle w:val="Hyperlink"/>
          </w:rPr>
          <w:t>10665680701228797</w:t>
        </w:r>
      </w:hyperlink>
    </w:p>
    <w:p w14:paraId="7DF0ED1E" w14:textId="11F9A151" w:rsidR="00124A6F" w:rsidRPr="00492CCC" w:rsidRDefault="00124A6F" w:rsidP="00773B36">
      <w:pPr>
        <w:ind w:left="720" w:hanging="720"/>
        <w:mirrorIndents/>
        <w:rPr>
          <w:rFonts w:cstheme="minorHAnsi"/>
        </w:rPr>
      </w:pPr>
      <w:r w:rsidRPr="00492CCC">
        <w:rPr>
          <w:rFonts w:cstheme="minorHAnsi"/>
          <w:color w:val="231F20"/>
        </w:rPr>
        <w:t xml:space="preserve">Mitchell, T. D. (2014). How service-learning enacts social justice sensemaking. </w:t>
      </w:r>
      <w:r w:rsidRPr="00492CCC">
        <w:rPr>
          <w:rFonts w:cstheme="minorHAnsi"/>
          <w:i/>
          <w:color w:val="231F20"/>
        </w:rPr>
        <w:t>Journal of Critical Thought and Praxis</w:t>
      </w:r>
      <w:r w:rsidR="00AA3846" w:rsidRPr="00492CCC">
        <w:rPr>
          <w:rFonts w:cstheme="minorHAnsi"/>
          <w:color w:val="231F20"/>
        </w:rPr>
        <w:t>,</w:t>
      </w:r>
      <w:r w:rsidRPr="00492CCC">
        <w:rPr>
          <w:rFonts w:cstheme="minorHAnsi"/>
          <w:i/>
          <w:color w:val="231F20"/>
        </w:rPr>
        <w:t xml:space="preserve"> 2</w:t>
      </w:r>
      <w:r w:rsidR="009D7951" w:rsidRPr="00492CCC">
        <w:rPr>
          <w:rFonts w:cstheme="minorHAnsi"/>
          <w:iCs/>
          <w:color w:val="231F20"/>
        </w:rPr>
        <w:t>(2)</w:t>
      </w:r>
      <w:r w:rsidR="00AA3846" w:rsidRPr="00492CCC">
        <w:rPr>
          <w:rFonts w:cstheme="minorHAnsi"/>
          <w:color w:val="231F20"/>
        </w:rPr>
        <w:t>,</w:t>
      </w:r>
      <w:r w:rsidRPr="00492CCC">
        <w:rPr>
          <w:rFonts w:cstheme="minorHAnsi"/>
          <w:i/>
          <w:color w:val="231F20"/>
        </w:rPr>
        <w:t xml:space="preserve"> </w:t>
      </w:r>
      <w:r w:rsidR="00B67E48" w:rsidRPr="00492CCC">
        <w:rPr>
          <w:rFonts w:cstheme="minorHAnsi"/>
          <w:iCs/>
          <w:color w:val="231F20"/>
        </w:rPr>
        <w:t xml:space="preserve">Article </w:t>
      </w:r>
      <w:r w:rsidR="009D7951" w:rsidRPr="00492CCC">
        <w:rPr>
          <w:rFonts w:cstheme="minorHAnsi"/>
          <w:color w:val="231F20"/>
        </w:rPr>
        <w:t>5</w:t>
      </w:r>
      <w:r w:rsidRPr="00492CCC">
        <w:rPr>
          <w:rFonts w:cstheme="minorHAnsi"/>
          <w:color w:val="231F20"/>
        </w:rPr>
        <w:t xml:space="preserve">. </w:t>
      </w:r>
      <w:hyperlink r:id="rId58">
        <w:r w:rsidR="009D7951" w:rsidRPr="00492CCC">
          <w:rPr>
            <w:rStyle w:val="Hyperlink"/>
            <w:rFonts w:cstheme="minorHAnsi"/>
          </w:rPr>
          <w:t>https://doi.org/10</w:t>
        </w:r>
      </w:hyperlink>
      <w:hyperlink r:id="rId59">
        <w:r w:rsidR="009D7951" w:rsidRPr="00492CCC">
          <w:rPr>
            <w:rStyle w:val="Hyperlink"/>
            <w:rFonts w:cstheme="minorHAnsi"/>
          </w:rPr>
          <w:t>.31274/jctp-180810-22</w:t>
        </w:r>
      </w:hyperlink>
    </w:p>
    <w:p w14:paraId="1B102A4C" w14:textId="5A9E40D4" w:rsidR="00124A6F" w:rsidRPr="00492CCC" w:rsidRDefault="00124A6F" w:rsidP="00773B36">
      <w:pPr>
        <w:ind w:left="720" w:hanging="720"/>
        <w:mirrorIndents/>
        <w:rPr>
          <w:rFonts w:cstheme="minorHAnsi"/>
        </w:rPr>
      </w:pPr>
      <w:r w:rsidRPr="00492CCC">
        <w:rPr>
          <w:rFonts w:cstheme="minorHAnsi"/>
          <w:color w:val="231F20"/>
        </w:rPr>
        <w:t xml:space="preserve">Mitchell, T. D., &amp; Soria, K. M. (2016). Seeking social justice: Undergraduates’ engagement in social change and social justice at American research universities. In T. D. Mitchell &amp; K. M. Soria (Eds.), </w:t>
      </w:r>
      <w:r w:rsidRPr="00492CCC">
        <w:rPr>
          <w:rFonts w:cstheme="minorHAnsi"/>
          <w:i/>
          <w:color w:val="231F20"/>
        </w:rPr>
        <w:t xml:space="preserve">Civic engagement and community service at research universities </w:t>
      </w:r>
      <w:r w:rsidRPr="00492CCC">
        <w:rPr>
          <w:rFonts w:cstheme="minorHAnsi"/>
          <w:color w:val="231F20"/>
        </w:rPr>
        <w:t xml:space="preserve">(pp. 241–255). Palgrave Macmillan. </w:t>
      </w:r>
      <w:hyperlink r:id="rId60" w:history="1">
        <w:r w:rsidR="009D7951" w:rsidRPr="00492CCC">
          <w:rPr>
            <w:rStyle w:val="Hyperlink"/>
          </w:rPr>
          <w:t>https://doi.org/10.1057/978-1-137-55312-6_13</w:t>
        </w:r>
      </w:hyperlink>
    </w:p>
    <w:p w14:paraId="71096426" w14:textId="7F260239" w:rsidR="009D7951" w:rsidRPr="00492CCC" w:rsidRDefault="00124A6F" w:rsidP="00773B36">
      <w:pPr>
        <w:ind w:left="720" w:hanging="720"/>
        <w:mirrorIndents/>
        <w:rPr>
          <w:rFonts w:cstheme="minorHAnsi"/>
          <w:color w:val="231F20"/>
        </w:rPr>
      </w:pPr>
      <w:proofErr w:type="spellStart"/>
      <w:r w:rsidRPr="00492CCC">
        <w:rPr>
          <w:rFonts w:cstheme="minorHAnsi"/>
          <w:color w:val="231F20"/>
        </w:rPr>
        <w:t>Moely</w:t>
      </w:r>
      <w:proofErr w:type="spellEnd"/>
      <w:r w:rsidRPr="00492CCC">
        <w:rPr>
          <w:rFonts w:cstheme="minorHAnsi"/>
          <w:color w:val="231F20"/>
        </w:rPr>
        <w:t xml:space="preserve">, B. E., McFarland, M., Miron, D., Mercer, S., &amp; Ilustre, V. (2002). Changes in college students’ attitudes and intentions for civic involvement as a function of service-learning experiences. </w:t>
      </w:r>
      <w:r w:rsidRPr="00492CCC">
        <w:rPr>
          <w:rFonts w:cstheme="minorHAnsi"/>
          <w:i/>
          <w:color w:val="231F20"/>
        </w:rPr>
        <w:t>Michigan Journal of Community Service Learning</w:t>
      </w:r>
      <w:r w:rsidRPr="00492CCC">
        <w:rPr>
          <w:rFonts w:cstheme="minorHAnsi"/>
          <w:iCs/>
          <w:color w:val="231F20"/>
        </w:rPr>
        <w:t>,</w:t>
      </w:r>
      <w:r w:rsidRPr="00492CCC">
        <w:rPr>
          <w:rFonts w:cstheme="minorHAnsi"/>
          <w:i/>
          <w:color w:val="231F20"/>
        </w:rPr>
        <w:t xml:space="preserve"> 9</w:t>
      </w:r>
      <w:r w:rsidR="009D7951" w:rsidRPr="00492CCC">
        <w:rPr>
          <w:rFonts w:cstheme="minorHAnsi"/>
          <w:iCs/>
          <w:color w:val="231F20"/>
        </w:rPr>
        <w:t>(1)</w:t>
      </w:r>
      <w:r w:rsidRPr="00492CCC">
        <w:rPr>
          <w:rFonts w:cstheme="minorHAnsi"/>
          <w:iCs/>
          <w:color w:val="231F20"/>
        </w:rPr>
        <w:t>,</w:t>
      </w:r>
      <w:r w:rsidRPr="00492CCC">
        <w:rPr>
          <w:rFonts w:cstheme="minorHAnsi"/>
          <w:i/>
          <w:color w:val="231F20"/>
        </w:rPr>
        <w:t xml:space="preserve"> </w:t>
      </w:r>
      <w:r w:rsidRPr="00492CCC">
        <w:rPr>
          <w:rFonts w:cstheme="minorHAnsi"/>
          <w:color w:val="231F20"/>
        </w:rPr>
        <w:t xml:space="preserve">18–26. </w:t>
      </w:r>
      <w:hyperlink r:id="rId61" w:anchor="page=1;zoom=75" w:history="1">
        <w:r w:rsidR="009D7951" w:rsidRPr="00492CCC">
          <w:rPr>
            <w:rStyle w:val="Hyperlink"/>
          </w:rPr>
          <w:t>https://quod.lib.umich.edu/cache//3/2/3/3239521.0009.102/3239521.0009.102.pdf#page=1;zoom=75</w:t>
        </w:r>
      </w:hyperlink>
    </w:p>
    <w:p w14:paraId="782BC492" w14:textId="443E0CE3" w:rsidR="00124A6F" w:rsidRPr="00492CCC" w:rsidRDefault="00124A6F" w:rsidP="00773B36">
      <w:pPr>
        <w:ind w:left="720" w:hanging="720"/>
        <w:mirrorIndents/>
        <w:rPr>
          <w:rFonts w:cstheme="minorHAnsi"/>
        </w:rPr>
      </w:pPr>
      <w:r w:rsidRPr="00492CCC">
        <w:rPr>
          <w:rFonts w:cstheme="minorHAnsi"/>
          <w:color w:val="231F20"/>
        </w:rPr>
        <w:t xml:space="preserve">Murphy, R. O., &amp; Ackermann, K. A. (2014). Social value orientation: Theoretical and measurement issues in the study of social preferences. </w:t>
      </w:r>
      <w:r w:rsidRPr="00492CCC">
        <w:rPr>
          <w:rFonts w:cstheme="minorHAnsi"/>
          <w:i/>
          <w:color w:val="231F20"/>
        </w:rPr>
        <w:t>Personality and Social Psychology Review</w:t>
      </w:r>
      <w:r w:rsidRPr="00492CCC">
        <w:rPr>
          <w:rFonts w:cstheme="minorHAnsi"/>
          <w:iCs/>
          <w:color w:val="231F20"/>
        </w:rPr>
        <w:t xml:space="preserve">, </w:t>
      </w:r>
      <w:r w:rsidRPr="00492CCC">
        <w:rPr>
          <w:rFonts w:cstheme="minorHAnsi"/>
          <w:i/>
          <w:color w:val="231F20"/>
        </w:rPr>
        <w:t>18</w:t>
      </w:r>
      <w:r w:rsidR="009D7951" w:rsidRPr="00492CCC">
        <w:rPr>
          <w:rFonts w:cstheme="minorHAnsi"/>
          <w:iCs/>
          <w:color w:val="231F20"/>
        </w:rPr>
        <w:t>(1)</w:t>
      </w:r>
      <w:r w:rsidRPr="00492CCC">
        <w:rPr>
          <w:rFonts w:cstheme="minorHAnsi"/>
          <w:iCs/>
          <w:color w:val="231F20"/>
        </w:rPr>
        <w:t>,</w:t>
      </w:r>
      <w:r w:rsidRPr="00492CCC">
        <w:rPr>
          <w:rFonts w:cstheme="minorHAnsi"/>
          <w:i/>
          <w:color w:val="231F20"/>
        </w:rPr>
        <w:t xml:space="preserve"> </w:t>
      </w:r>
      <w:r w:rsidRPr="00492CCC">
        <w:rPr>
          <w:rFonts w:cstheme="minorHAnsi"/>
          <w:color w:val="231F20"/>
        </w:rPr>
        <w:t xml:space="preserve">13–41. </w:t>
      </w:r>
      <w:hyperlink r:id="rId62">
        <w:r w:rsidR="009D7951" w:rsidRPr="00492CCC">
          <w:rPr>
            <w:rStyle w:val="Hyperlink"/>
          </w:rPr>
          <w:t>https://doi.org/10.1177/1088868313501745</w:t>
        </w:r>
      </w:hyperlink>
    </w:p>
    <w:p w14:paraId="0BD0EAE9" w14:textId="46B10A74" w:rsidR="00124A6F" w:rsidRPr="00492CCC" w:rsidRDefault="00124A6F" w:rsidP="00773B36">
      <w:pPr>
        <w:ind w:left="720" w:hanging="720"/>
        <w:mirrorIndents/>
        <w:rPr>
          <w:rFonts w:cstheme="minorHAnsi"/>
        </w:rPr>
      </w:pPr>
      <w:bookmarkStart w:id="40" w:name="_bookmark52"/>
      <w:bookmarkEnd w:id="40"/>
      <w:r w:rsidRPr="00492CCC">
        <w:rPr>
          <w:rFonts w:cstheme="minorHAnsi"/>
          <w:color w:val="231F20"/>
        </w:rPr>
        <w:t xml:space="preserve">Nagda, B. A., Spearmon, M. L., Holley, L. C., </w:t>
      </w:r>
      <w:bookmarkStart w:id="41" w:name="_bookmark53"/>
      <w:bookmarkEnd w:id="41"/>
      <w:r w:rsidRPr="00492CCC">
        <w:rPr>
          <w:rFonts w:cstheme="minorHAnsi"/>
          <w:color w:val="231F20"/>
        </w:rPr>
        <w:t xml:space="preserve">Harding, S., Moïse-Swanson, D., Balassone, M. L., &amp; De Mello, S. (1999). Intergroup dialogues: An innovative approach to teaching about diversity and justice in social work programs. </w:t>
      </w:r>
      <w:r w:rsidRPr="00492CCC">
        <w:rPr>
          <w:rFonts w:cstheme="minorHAnsi"/>
          <w:i/>
          <w:color w:val="231F20"/>
        </w:rPr>
        <w:t xml:space="preserve">Journal </w:t>
      </w:r>
      <w:bookmarkStart w:id="42" w:name="_bookmark51"/>
      <w:bookmarkEnd w:id="42"/>
      <w:r w:rsidRPr="00492CCC">
        <w:rPr>
          <w:rFonts w:cstheme="minorHAnsi"/>
          <w:i/>
          <w:color w:val="231F20"/>
        </w:rPr>
        <w:t>of Social Work Education</w:t>
      </w:r>
      <w:r w:rsidRPr="00492CCC">
        <w:rPr>
          <w:rFonts w:cstheme="minorHAnsi"/>
          <w:iCs/>
          <w:color w:val="231F20"/>
        </w:rPr>
        <w:t xml:space="preserve">, </w:t>
      </w:r>
      <w:r w:rsidRPr="00492CCC">
        <w:rPr>
          <w:rFonts w:cstheme="minorHAnsi"/>
          <w:i/>
          <w:color w:val="231F20"/>
        </w:rPr>
        <w:t>35</w:t>
      </w:r>
      <w:r w:rsidR="009D7951" w:rsidRPr="00492CCC">
        <w:rPr>
          <w:rFonts w:cstheme="minorHAnsi"/>
          <w:iCs/>
          <w:color w:val="231F20"/>
        </w:rPr>
        <w:t>(3)</w:t>
      </w:r>
      <w:r w:rsidRPr="00492CCC">
        <w:rPr>
          <w:rFonts w:cstheme="minorHAnsi"/>
          <w:iCs/>
          <w:color w:val="231F20"/>
        </w:rPr>
        <w:t>,</w:t>
      </w:r>
      <w:r w:rsidRPr="00492CCC">
        <w:rPr>
          <w:rFonts w:cstheme="minorHAnsi"/>
          <w:i/>
          <w:color w:val="231F20"/>
        </w:rPr>
        <w:t xml:space="preserve"> </w:t>
      </w:r>
      <w:r w:rsidRPr="00492CCC">
        <w:rPr>
          <w:rFonts w:cstheme="minorHAnsi"/>
          <w:color w:val="231F20"/>
        </w:rPr>
        <w:t xml:space="preserve">433–449. </w:t>
      </w:r>
      <w:hyperlink r:id="rId63" w:history="1">
        <w:r w:rsidR="001A5F8C" w:rsidRPr="00492CCC">
          <w:rPr>
            <w:rStyle w:val="Hyperlink"/>
            <w:rFonts w:cstheme="minorHAnsi"/>
          </w:rPr>
          <w:t>https://doi.org/10.1080/10437797.1999.10778980</w:t>
        </w:r>
      </w:hyperlink>
      <w:r w:rsidR="001A5F8C" w:rsidRPr="00492CCC">
        <w:rPr>
          <w:rFonts w:cstheme="minorHAnsi"/>
          <w:color w:val="231F20"/>
        </w:rPr>
        <w:t xml:space="preserve"> </w:t>
      </w:r>
    </w:p>
    <w:p w14:paraId="68D09CE5" w14:textId="7B5BC313" w:rsidR="00124A6F" w:rsidRPr="00492CCC" w:rsidRDefault="00124A6F" w:rsidP="00773B36">
      <w:pPr>
        <w:ind w:left="720" w:hanging="720"/>
        <w:mirrorIndents/>
        <w:rPr>
          <w:rFonts w:cstheme="minorHAnsi"/>
        </w:rPr>
      </w:pPr>
      <w:bookmarkStart w:id="43" w:name="_bookmark54"/>
      <w:bookmarkEnd w:id="43"/>
      <w:r w:rsidRPr="00492CCC">
        <w:rPr>
          <w:rFonts w:cstheme="minorHAnsi"/>
          <w:color w:val="231F20"/>
        </w:rPr>
        <w:t xml:space="preserve">Nelson, G., &amp; Prilleltensky, I. (Eds.). (2010). </w:t>
      </w:r>
      <w:r w:rsidRPr="00492CCC">
        <w:rPr>
          <w:rFonts w:cstheme="minorHAnsi"/>
          <w:i/>
          <w:color w:val="231F20"/>
        </w:rPr>
        <w:t>Community psychology: In pursuit of liberation and well-being</w:t>
      </w:r>
      <w:r w:rsidRPr="00492CCC">
        <w:rPr>
          <w:rFonts w:cstheme="minorHAnsi"/>
          <w:color w:val="231F20"/>
        </w:rPr>
        <w:t>. Palgrave Macmillan.</w:t>
      </w:r>
      <w:bookmarkStart w:id="44" w:name="_bookmark55"/>
      <w:bookmarkEnd w:id="44"/>
      <w:r w:rsidRPr="00492CCC">
        <w:rPr>
          <w:rFonts w:cstheme="minorHAnsi"/>
          <w:color w:val="231F20"/>
        </w:rPr>
        <w:t xml:space="preserve"> </w:t>
      </w:r>
    </w:p>
    <w:p w14:paraId="34265EEB" w14:textId="2253B9DA" w:rsidR="00124A6F" w:rsidRPr="00492CCC" w:rsidRDefault="00124A6F" w:rsidP="00773B36">
      <w:pPr>
        <w:ind w:left="720" w:hanging="720"/>
        <w:mirrorIndents/>
        <w:rPr>
          <w:rFonts w:cstheme="minorHAnsi"/>
        </w:rPr>
      </w:pPr>
      <w:r w:rsidRPr="00492CCC">
        <w:rPr>
          <w:rFonts w:cstheme="minorHAnsi"/>
          <w:color w:val="231F20"/>
        </w:rPr>
        <w:t xml:space="preserve">Reed, S. C., Rosenberg, H., Statham, A., &amp; </w:t>
      </w:r>
      <w:bookmarkStart w:id="45" w:name="_bookmark56"/>
      <w:bookmarkEnd w:id="45"/>
      <w:r w:rsidRPr="00492CCC">
        <w:rPr>
          <w:rFonts w:cstheme="minorHAnsi"/>
          <w:color w:val="231F20"/>
        </w:rPr>
        <w:t>Rosing,</w:t>
      </w:r>
      <w:r w:rsidR="00303324" w:rsidRPr="00492CCC">
        <w:rPr>
          <w:rFonts w:cstheme="minorHAnsi"/>
          <w:color w:val="231F20"/>
        </w:rPr>
        <w:t xml:space="preserve"> </w:t>
      </w:r>
      <w:r w:rsidRPr="00492CCC">
        <w:rPr>
          <w:rFonts w:cstheme="minorHAnsi"/>
          <w:color w:val="231F20"/>
        </w:rPr>
        <w:t xml:space="preserve">H. (2015). The effect of community service learning on undergraduate persistence in three institutional contexts. </w:t>
      </w:r>
      <w:r w:rsidRPr="00492CCC">
        <w:rPr>
          <w:rFonts w:cstheme="minorHAnsi"/>
          <w:i/>
          <w:color w:val="231F20"/>
        </w:rPr>
        <w:t>Michigan Journal of Community</w:t>
      </w:r>
      <w:bookmarkStart w:id="46" w:name="_bookmark57"/>
      <w:bookmarkEnd w:id="46"/>
      <w:r w:rsidRPr="00492CCC">
        <w:rPr>
          <w:rFonts w:cstheme="minorHAnsi"/>
          <w:i/>
          <w:color w:val="231F20"/>
        </w:rPr>
        <w:t xml:space="preserve"> Service Learning</w:t>
      </w:r>
      <w:r w:rsidR="00AA3846" w:rsidRPr="00492CCC">
        <w:rPr>
          <w:rFonts w:cstheme="minorHAnsi"/>
          <w:color w:val="231F20"/>
        </w:rPr>
        <w:t>,</w:t>
      </w:r>
      <w:r w:rsidRPr="00492CCC">
        <w:rPr>
          <w:rFonts w:cstheme="minorHAnsi"/>
          <w:i/>
          <w:color w:val="231F20"/>
        </w:rPr>
        <w:t xml:space="preserve"> 21</w:t>
      </w:r>
      <w:r w:rsidR="00AA3846" w:rsidRPr="00492CCC">
        <w:rPr>
          <w:rFonts w:cstheme="minorHAnsi"/>
          <w:color w:val="231F20"/>
        </w:rPr>
        <w:t>,</w:t>
      </w:r>
      <w:r w:rsidRPr="00492CCC">
        <w:rPr>
          <w:rFonts w:cstheme="minorHAnsi"/>
          <w:i/>
          <w:color w:val="231F20"/>
        </w:rPr>
        <w:t xml:space="preserve"> </w:t>
      </w:r>
      <w:r w:rsidRPr="00492CCC">
        <w:rPr>
          <w:rFonts w:cstheme="minorHAnsi"/>
          <w:color w:val="231F20"/>
        </w:rPr>
        <w:t>22–36.</w:t>
      </w:r>
      <w:r w:rsidR="00B30556" w:rsidRPr="00492CCC">
        <w:rPr>
          <w:rFonts w:cstheme="minorHAnsi"/>
          <w:color w:val="231F20"/>
        </w:rPr>
        <w:t xml:space="preserve"> </w:t>
      </w:r>
      <w:hyperlink r:id="rId64" w:history="1">
        <w:r w:rsidR="00B30556" w:rsidRPr="00492CCC">
          <w:rPr>
            <w:rStyle w:val="Hyperlink"/>
            <w:rFonts w:cstheme="minorHAnsi"/>
          </w:rPr>
          <w:t>https://files.eric.ed.gov/fulltext/EJ1116299.pdf</w:t>
        </w:r>
      </w:hyperlink>
      <w:r w:rsidR="00B30556" w:rsidRPr="00492CCC">
        <w:rPr>
          <w:rFonts w:cstheme="minorHAnsi"/>
          <w:color w:val="231F20"/>
        </w:rPr>
        <w:t xml:space="preserve"> </w:t>
      </w:r>
    </w:p>
    <w:p w14:paraId="1B0D05D3" w14:textId="083AABE0" w:rsidR="00FF10EC" w:rsidRPr="00492CCC" w:rsidRDefault="00124A6F" w:rsidP="00773B36">
      <w:pPr>
        <w:ind w:left="720" w:hanging="720"/>
        <w:mirrorIndents/>
        <w:rPr>
          <w:rFonts w:cstheme="minorHAnsi"/>
        </w:rPr>
      </w:pPr>
      <w:proofErr w:type="spellStart"/>
      <w:r w:rsidRPr="00492CCC">
        <w:rPr>
          <w:rFonts w:cstheme="minorHAnsi"/>
          <w:color w:val="231F20"/>
        </w:rPr>
        <w:t>Schlehofer</w:t>
      </w:r>
      <w:proofErr w:type="spellEnd"/>
      <w:r w:rsidRPr="00492CCC">
        <w:rPr>
          <w:rFonts w:cstheme="minorHAnsi"/>
          <w:color w:val="231F20"/>
        </w:rPr>
        <w:t xml:space="preserve">, M. M., &amp; Phillips, S. M. (2013). </w:t>
      </w:r>
      <w:bookmarkStart w:id="47" w:name="_bookmark60"/>
      <w:bookmarkEnd w:id="47"/>
      <w:r w:rsidRPr="00492CCC">
        <w:rPr>
          <w:rFonts w:cstheme="minorHAnsi"/>
          <w:color w:val="231F20"/>
        </w:rPr>
        <w:t xml:space="preserve">Teaching experientially in the undergraduate community psychology classroom. </w:t>
      </w:r>
      <w:r w:rsidRPr="00492CCC">
        <w:rPr>
          <w:rFonts w:cstheme="minorHAnsi"/>
          <w:i/>
          <w:color w:val="231F20"/>
        </w:rPr>
        <w:t>Journal of Prevention &amp; Intervention in the Community</w:t>
      </w:r>
      <w:r w:rsidRPr="00492CCC">
        <w:rPr>
          <w:rFonts w:cstheme="minorHAnsi"/>
          <w:iCs/>
          <w:color w:val="231F20"/>
        </w:rPr>
        <w:t>,</w:t>
      </w:r>
      <w:r w:rsidRPr="00492CCC">
        <w:rPr>
          <w:rFonts w:cstheme="minorHAnsi"/>
          <w:i/>
          <w:color w:val="231F20"/>
        </w:rPr>
        <w:t xml:space="preserve"> 41</w:t>
      </w:r>
      <w:r w:rsidR="009D7951" w:rsidRPr="00492CCC">
        <w:rPr>
          <w:rFonts w:cstheme="minorHAnsi"/>
          <w:iCs/>
          <w:color w:val="231F20"/>
        </w:rPr>
        <w:t>(2)</w:t>
      </w:r>
      <w:r w:rsidRPr="00492CCC">
        <w:rPr>
          <w:rFonts w:cstheme="minorHAnsi"/>
          <w:iCs/>
          <w:color w:val="231F20"/>
        </w:rPr>
        <w:t xml:space="preserve">, </w:t>
      </w:r>
      <w:r w:rsidRPr="00492CCC">
        <w:rPr>
          <w:rFonts w:cstheme="minorHAnsi"/>
          <w:color w:val="231F20"/>
        </w:rPr>
        <w:t xml:space="preserve">55–60. </w:t>
      </w:r>
      <w:hyperlink r:id="rId65" w:history="1">
        <w:r w:rsidR="001A5F8C" w:rsidRPr="00492CCC">
          <w:rPr>
            <w:rStyle w:val="Hyperlink"/>
          </w:rPr>
          <w:t>https://doi.org/10.1080/10852352.2013.757978</w:t>
        </w:r>
      </w:hyperlink>
      <w:r w:rsidR="001A5F8C" w:rsidRPr="00492CCC">
        <w:t xml:space="preserve"> </w:t>
      </w:r>
    </w:p>
    <w:p w14:paraId="16D21B90" w14:textId="77777777" w:rsidR="00622444" w:rsidRPr="00492CCC" w:rsidRDefault="00622444" w:rsidP="00622444">
      <w:pPr>
        <w:ind w:left="720" w:hanging="720"/>
        <w:mirrorIndents/>
        <w:rPr>
          <w:rFonts w:cstheme="minorHAnsi"/>
        </w:rPr>
      </w:pPr>
      <w:r w:rsidRPr="00492CCC">
        <w:rPr>
          <w:rFonts w:cstheme="minorHAnsi"/>
          <w:color w:val="231F20"/>
        </w:rPr>
        <w:t xml:space="preserve">Simons, L., Fehr, L., Blank, N., Connell, H., </w:t>
      </w:r>
      <w:bookmarkStart w:id="48" w:name="_bookmark63"/>
      <w:bookmarkEnd w:id="48"/>
      <w:proofErr w:type="spellStart"/>
      <w:r w:rsidRPr="00492CCC">
        <w:rPr>
          <w:rFonts w:cstheme="minorHAnsi"/>
          <w:color w:val="231F20"/>
        </w:rPr>
        <w:t>Georganas</w:t>
      </w:r>
      <w:proofErr w:type="spellEnd"/>
      <w:r w:rsidRPr="00492CCC">
        <w:rPr>
          <w:rFonts w:cstheme="minorHAnsi"/>
          <w:color w:val="231F20"/>
        </w:rPr>
        <w:t xml:space="preserve">, D., Fernandez, D., &amp; Peterson, V. (2012). Lessons learned from experiential learning: What do students learn from a practicum/internship? </w:t>
      </w:r>
      <w:r w:rsidRPr="00492CCC">
        <w:rPr>
          <w:rFonts w:cstheme="minorHAnsi"/>
          <w:i/>
          <w:color w:val="231F20"/>
        </w:rPr>
        <w:t>International Journal on Teaching and Learning</w:t>
      </w:r>
      <w:bookmarkStart w:id="49" w:name="_bookmark62"/>
      <w:bookmarkEnd w:id="49"/>
      <w:r w:rsidRPr="00492CCC">
        <w:rPr>
          <w:rFonts w:cstheme="minorHAnsi"/>
          <w:i/>
          <w:color w:val="231F20"/>
        </w:rPr>
        <w:t xml:space="preserve"> in Higher Education</w:t>
      </w:r>
      <w:r w:rsidRPr="00492CCC">
        <w:rPr>
          <w:rFonts w:cstheme="minorHAnsi"/>
          <w:iCs/>
          <w:color w:val="231F20"/>
        </w:rPr>
        <w:t>,</w:t>
      </w:r>
      <w:r w:rsidRPr="00492CCC">
        <w:rPr>
          <w:rFonts w:cstheme="minorHAnsi"/>
          <w:i/>
          <w:color w:val="231F20"/>
        </w:rPr>
        <w:t xml:space="preserve"> 24</w:t>
      </w:r>
      <w:r w:rsidRPr="00492CCC">
        <w:rPr>
          <w:rFonts w:cstheme="minorHAnsi"/>
          <w:iCs/>
          <w:color w:val="231F20"/>
        </w:rPr>
        <w:t>(3),</w:t>
      </w:r>
      <w:r w:rsidRPr="00492CCC">
        <w:rPr>
          <w:rFonts w:cstheme="minorHAnsi"/>
          <w:i/>
          <w:color w:val="231F20"/>
        </w:rPr>
        <w:t xml:space="preserve"> </w:t>
      </w:r>
      <w:r w:rsidRPr="00492CCC">
        <w:rPr>
          <w:rFonts w:cstheme="minorHAnsi"/>
          <w:color w:val="231F20"/>
        </w:rPr>
        <w:t xml:space="preserve">325–334. </w:t>
      </w:r>
      <w:hyperlink r:id="rId66" w:history="1">
        <w:r w:rsidRPr="00492CCC">
          <w:rPr>
            <w:rStyle w:val="Hyperlink"/>
          </w:rPr>
          <w:t>http://www.isetl.org/ijtlhe/pdf/IJTLHE1315.pdf</w:t>
        </w:r>
      </w:hyperlink>
    </w:p>
    <w:p w14:paraId="3F250B62" w14:textId="77777777" w:rsidR="00622444" w:rsidRPr="00492CCC" w:rsidRDefault="00622444" w:rsidP="00622444">
      <w:pPr>
        <w:ind w:left="720" w:hanging="720"/>
        <w:mirrorIndents/>
        <w:rPr>
          <w:rFonts w:cstheme="minorHAnsi"/>
        </w:rPr>
      </w:pPr>
      <w:r w:rsidRPr="00492CCC">
        <w:rPr>
          <w:rFonts w:cstheme="minorHAnsi"/>
          <w:color w:val="231F20"/>
        </w:rPr>
        <w:t xml:space="preserve">Society for Community Research and Action. </w:t>
      </w:r>
      <w:bookmarkStart w:id="50" w:name="_bookmark65"/>
      <w:bookmarkEnd w:id="50"/>
      <w:r w:rsidRPr="00492CCC">
        <w:rPr>
          <w:rFonts w:cstheme="minorHAnsi"/>
          <w:color w:val="231F20"/>
        </w:rPr>
        <w:t xml:space="preserve">(2019). </w:t>
      </w:r>
      <w:r w:rsidRPr="00492CCC">
        <w:rPr>
          <w:rFonts w:cstheme="minorHAnsi"/>
          <w:i/>
          <w:color w:val="231F20"/>
        </w:rPr>
        <w:t xml:space="preserve">What is community psychology? </w:t>
      </w:r>
      <w:hyperlink r:id="rId67" w:history="1">
        <w:r w:rsidRPr="00492CCC">
          <w:rPr>
            <w:rStyle w:val="Hyperlink"/>
          </w:rPr>
          <w:t>http://www.scra27.org/what-we-do/what-community-psychology/</w:t>
        </w:r>
      </w:hyperlink>
    </w:p>
    <w:p w14:paraId="363F42C3" w14:textId="2A273EA5" w:rsidR="00124A6F" w:rsidRPr="00492CCC" w:rsidRDefault="00124A6F" w:rsidP="00773B36">
      <w:pPr>
        <w:ind w:left="720" w:hanging="720"/>
        <w:mirrorIndents/>
        <w:rPr>
          <w:rFonts w:cstheme="minorHAnsi"/>
        </w:rPr>
      </w:pPr>
      <w:r w:rsidRPr="00492CCC">
        <w:rPr>
          <w:rFonts w:cstheme="minorHAnsi"/>
          <w:color w:val="231F20"/>
        </w:rPr>
        <w:lastRenderedPageBreak/>
        <w:t xml:space="preserve">Stearns, P. N. (2009). </w:t>
      </w:r>
      <w:r w:rsidRPr="00492CCC">
        <w:rPr>
          <w:rFonts w:cstheme="minorHAnsi"/>
          <w:i/>
          <w:color w:val="231F20"/>
        </w:rPr>
        <w:t>Educating global citizens in college and universities: Challenges and opportunities</w:t>
      </w:r>
      <w:r w:rsidRPr="00492CCC">
        <w:rPr>
          <w:rFonts w:cstheme="minorHAnsi"/>
          <w:color w:val="231F20"/>
        </w:rPr>
        <w:t xml:space="preserve">. Taylor &amp; Francis. </w:t>
      </w:r>
      <w:hyperlink r:id="rId68" w:history="1">
        <w:r w:rsidR="00B30556" w:rsidRPr="00492CCC">
          <w:rPr>
            <w:rStyle w:val="Hyperlink"/>
            <w:rFonts w:cstheme="minorHAnsi"/>
          </w:rPr>
          <w:t>https://doi.org/10.4324/9780203885185</w:t>
        </w:r>
      </w:hyperlink>
      <w:r w:rsidR="00B30556" w:rsidRPr="00492CCC">
        <w:rPr>
          <w:rFonts w:cstheme="minorHAnsi"/>
          <w:color w:val="231F20"/>
        </w:rPr>
        <w:t xml:space="preserve"> </w:t>
      </w:r>
    </w:p>
    <w:p w14:paraId="5E1F385A" w14:textId="2AE717F9" w:rsidR="00124A6F" w:rsidRPr="00492CCC" w:rsidRDefault="00124A6F" w:rsidP="00773B36">
      <w:pPr>
        <w:ind w:left="720" w:hanging="720"/>
        <w:mirrorIndents/>
        <w:rPr>
          <w:rFonts w:cstheme="minorHAnsi"/>
        </w:rPr>
      </w:pPr>
      <w:r w:rsidRPr="00492CCC">
        <w:rPr>
          <w:rFonts w:cstheme="minorHAnsi"/>
          <w:color w:val="231F20"/>
        </w:rPr>
        <w:t xml:space="preserve">Stenhouse, V. L., &amp; Jarrett, O. S. (2012). In the service of learning and activism: Service learning, critical pedagogy, and the problem solution project. </w:t>
      </w:r>
      <w:r w:rsidRPr="00492CCC">
        <w:rPr>
          <w:rFonts w:cstheme="minorHAnsi"/>
          <w:i/>
          <w:color w:val="231F20"/>
        </w:rPr>
        <w:t>Teacher Education Quarterly</w:t>
      </w:r>
      <w:r w:rsidRPr="00492CCC">
        <w:rPr>
          <w:rFonts w:cstheme="minorHAnsi"/>
          <w:iCs/>
          <w:color w:val="231F20"/>
        </w:rPr>
        <w:t xml:space="preserve">, </w:t>
      </w:r>
      <w:r w:rsidRPr="00492CCC">
        <w:rPr>
          <w:rFonts w:cstheme="minorHAnsi"/>
          <w:i/>
          <w:color w:val="231F20"/>
        </w:rPr>
        <w:t>39</w:t>
      </w:r>
      <w:r w:rsidR="00FF10EC" w:rsidRPr="00492CCC">
        <w:rPr>
          <w:rFonts w:cstheme="minorHAnsi"/>
          <w:iCs/>
          <w:color w:val="231F20"/>
        </w:rPr>
        <w:t>(1)</w:t>
      </w:r>
      <w:r w:rsidRPr="00492CCC">
        <w:rPr>
          <w:rFonts w:cstheme="minorHAnsi"/>
          <w:iCs/>
          <w:color w:val="231F20"/>
        </w:rPr>
        <w:t>,</w:t>
      </w:r>
      <w:r w:rsidRPr="00492CCC">
        <w:rPr>
          <w:rFonts w:cstheme="minorHAnsi"/>
          <w:i/>
          <w:color w:val="231F20"/>
        </w:rPr>
        <w:t xml:space="preserve"> </w:t>
      </w:r>
      <w:r w:rsidRPr="00492CCC">
        <w:rPr>
          <w:rFonts w:cstheme="minorHAnsi"/>
          <w:color w:val="231F20"/>
        </w:rPr>
        <w:t>51–76.</w:t>
      </w:r>
      <w:r w:rsidR="00FF10EC" w:rsidRPr="00492CCC">
        <w:rPr>
          <w:rFonts w:cstheme="minorHAnsi"/>
          <w:color w:val="231F20"/>
        </w:rPr>
        <w:t xml:space="preserve"> </w:t>
      </w:r>
      <w:hyperlink r:id="rId69" w:history="1">
        <w:r w:rsidR="00FF10EC" w:rsidRPr="00492CCC">
          <w:rPr>
            <w:rStyle w:val="Hyperlink"/>
          </w:rPr>
          <w:t>https://files.eric.ed.gov/fulltext/EJ977356.pdf</w:t>
        </w:r>
      </w:hyperlink>
    </w:p>
    <w:p w14:paraId="17740DE4" w14:textId="2DF09FE1" w:rsidR="00124A6F" w:rsidRPr="00492CCC" w:rsidRDefault="00124A6F" w:rsidP="00773B36">
      <w:pPr>
        <w:ind w:left="720" w:hanging="720"/>
        <w:mirrorIndents/>
        <w:rPr>
          <w:rFonts w:cstheme="minorHAnsi"/>
        </w:rPr>
      </w:pPr>
      <w:r w:rsidRPr="00492CCC">
        <w:rPr>
          <w:rFonts w:cstheme="minorHAnsi"/>
          <w:color w:val="231F20"/>
        </w:rPr>
        <w:t xml:space="preserve">Teasley, M., &amp; Archuleta, A. J. (2015). A review of social justice and diversity content in diversity course syllabi. </w:t>
      </w:r>
      <w:r w:rsidRPr="00492CCC">
        <w:rPr>
          <w:rFonts w:cstheme="minorHAnsi"/>
          <w:i/>
          <w:color w:val="231F20"/>
        </w:rPr>
        <w:t>Social Work Education</w:t>
      </w:r>
      <w:r w:rsidRPr="00492CCC">
        <w:rPr>
          <w:rFonts w:cstheme="minorHAnsi"/>
          <w:iCs/>
          <w:color w:val="231F20"/>
        </w:rPr>
        <w:t>,</w:t>
      </w:r>
      <w:r w:rsidRPr="00492CCC">
        <w:rPr>
          <w:rFonts w:cstheme="minorHAnsi"/>
          <w:i/>
          <w:color w:val="231F20"/>
        </w:rPr>
        <w:t xml:space="preserve"> 34</w:t>
      </w:r>
      <w:r w:rsidR="00567921" w:rsidRPr="00492CCC">
        <w:rPr>
          <w:rFonts w:cstheme="minorHAnsi"/>
          <w:iCs/>
          <w:color w:val="231F20"/>
        </w:rPr>
        <w:t>(6)</w:t>
      </w:r>
      <w:r w:rsidRPr="00492CCC">
        <w:rPr>
          <w:rFonts w:cstheme="minorHAnsi"/>
          <w:iCs/>
          <w:color w:val="231F20"/>
        </w:rPr>
        <w:t xml:space="preserve">, </w:t>
      </w:r>
      <w:r w:rsidRPr="00492CCC">
        <w:rPr>
          <w:rFonts w:cstheme="minorHAnsi"/>
          <w:color w:val="231F20"/>
        </w:rPr>
        <w:t xml:space="preserve">607–622. </w:t>
      </w:r>
      <w:hyperlink r:id="rId70">
        <w:r w:rsidR="00567921" w:rsidRPr="00492CCC">
          <w:rPr>
            <w:rStyle w:val="Hyperlink"/>
          </w:rPr>
          <w:t>https://doi.org/10.1080/02615479.2015</w:t>
        </w:r>
      </w:hyperlink>
      <w:hyperlink r:id="rId71">
        <w:r w:rsidR="00567921" w:rsidRPr="00492CCC">
          <w:rPr>
            <w:rStyle w:val="Hyperlink"/>
          </w:rPr>
          <w:t>.1037828</w:t>
        </w:r>
      </w:hyperlink>
    </w:p>
    <w:p w14:paraId="5A45B247" w14:textId="7A86AF40" w:rsidR="00124A6F" w:rsidRPr="00492CCC" w:rsidRDefault="00124A6F" w:rsidP="00773B36">
      <w:pPr>
        <w:ind w:left="720" w:hanging="720"/>
        <w:mirrorIndents/>
        <w:rPr>
          <w:rFonts w:cstheme="minorHAnsi"/>
        </w:rPr>
      </w:pPr>
      <w:r w:rsidRPr="00492CCC">
        <w:rPr>
          <w:rFonts w:cstheme="minorHAnsi"/>
          <w:color w:val="231F20"/>
        </w:rPr>
        <w:t xml:space="preserve">Thomas, E. F., Mavor, K. I., &amp; McGarty, C. (2012). Social identities facilitate and encapsulate action- relevant </w:t>
      </w:r>
      <w:proofErr w:type="gramStart"/>
      <w:r w:rsidRPr="00492CCC">
        <w:rPr>
          <w:rFonts w:cstheme="minorHAnsi"/>
          <w:color w:val="231F20"/>
        </w:rPr>
        <w:t>constructs</w:t>
      </w:r>
      <w:proofErr w:type="gramEnd"/>
      <w:r w:rsidRPr="00492CCC">
        <w:rPr>
          <w:rFonts w:cstheme="minorHAnsi"/>
          <w:color w:val="231F20"/>
        </w:rPr>
        <w:t xml:space="preserve">: A test of the social identity model of collective action. </w:t>
      </w:r>
      <w:r w:rsidRPr="00492CCC">
        <w:rPr>
          <w:rFonts w:cstheme="minorHAnsi"/>
          <w:i/>
          <w:color w:val="231F20"/>
        </w:rPr>
        <w:t>Group Processes &amp; Intergroup Relations</w:t>
      </w:r>
      <w:r w:rsidRPr="00492CCC">
        <w:rPr>
          <w:rFonts w:cstheme="minorHAnsi"/>
          <w:iCs/>
          <w:color w:val="231F20"/>
        </w:rPr>
        <w:t>,</w:t>
      </w:r>
      <w:r w:rsidRPr="00492CCC">
        <w:rPr>
          <w:rFonts w:cstheme="minorHAnsi"/>
          <w:i/>
          <w:color w:val="231F20"/>
        </w:rPr>
        <w:t xml:space="preserve"> 15</w:t>
      </w:r>
      <w:r w:rsidR="00567921" w:rsidRPr="00492CCC">
        <w:rPr>
          <w:rFonts w:cstheme="minorHAnsi"/>
          <w:iCs/>
          <w:color w:val="231F20"/>
        </w:rPr>
        <w:t>(1)</w:t>
      </w:r>
      <w:r w:rsidRPr="00492CCC">
        <w:rPr>
          <w:rFonts w:cstheme="minorHAnsi"/>
          <w:iCs/>
          <w:color w:val="231F20"/>
        </w:rPr>
        <w:t>,</w:t>
      </w:r>
      <w:r w:rsidRPr="00492CCC">
        <w:rPr>
          <w:rFonts w:cstheme="minorHAnsi"/>
          <w:i/>
          <w:color w:val="231F20"/>
        </w:rPr>
        <w:t xml:space="preserve"> </w:t>
      </w:r>
      <w:r w:rsidRPr="00492CCC">
        <w:rPr>
          <w:rFonts w:cstheme="minorHAnsi"/>
          <w:color w:val="231F20"/>
        </w:rPr>
        <w:t xml:space="preserve">75–88. </w:t>
      </w:r>
      <w:hyperlink r:id="rId72">
        <w:r w:rsidR="00567921" w:rsidRPr="00492CCC">
          <w:rPr>
            <w:rStyle w:val="Hyperlink"/>
          </w:rPr>
          <w:t>https://doi.org/</w:t>
        </w:r>
      </w:hyperlink>
      <w:hyperlink r:id="rId73">
        <w:r w:rsidR="00567921" w:rsidRPr="00492CCC">
          <w:rPr>
            <w:rStyle w:val="Hyperlink"/>
          </w:rPr>
          <w:t>10.1177/1368430211413619</w:t>
        </w:r>
      </w:hyperlink>
    </w:p>
    <w:p w14:paraId="3ED52E73" w14:textId="65C06884" w:rsidR="00124A6F" w:rsidRPr="00492CCC" w:rsidRDefault="00124A6F" w:rsidP="00773B36">
      <w:pPr>
        <w:ind w:left="720" w:hanging="720"/>
        <w:mirrorIndents/>
        <w:rPr>
          <w:rFonts w:cstheme="minorHAnsi"/>
        </w:rPr>
      </w:pPr>
      <w:r w:rsidRPr="00492CCC">
        <w:rPr>
          <w:rFonts w:cstheme="minorHAnsi"/>
          <w:color w:val="231F20"/>
        </w:rPr>
        <w:t xml:space="preserve">Torres-Harding, S. R., Siers, B., &amp; Olson, B. D. (2012). Development and psychometric evaluation of the Social Justice Scale (SJS). </w:t>
      </w:r>
      <w:r w:rsidRPr="00492CCC">
        <w:rPr>
          <w:rFonts w:cstheme="minorHAnsi"/>
          <w:i/>
          <w:color w:val="231F20"/>
        </w:rPr>
        <w:t>American Journal of Community Psychology</w:t>
      </w:r>
      <w:r w:rsidRPr="00492CCC">
        <w:rPr>
          <w:rFonts w:cstheme="minorHAnsi"/>
          <w:iCs/>
          <w:color w:val="231F20"/>
        </w:rPr>
        <w:t>,</w:t>
      </w:r>
      <w:r w:rsidRPr="00492CCC">
        <w:rPr>
          <w:rFonts w:cstheme="minorHAnsi"/>
          <w:i/>
          <w:color w:val="231F20"/>
        </w:rPr>
        <w:t xml:space="preserve"> 50</w:t>
      </w:r>
      <w:r w:rsidR="00567921" w:rsidRPr="00492CCC">
        <w:rPr>
          <w:rFonts w:cstheme="minorHAnsi"/>
          <w:iCs/>
          <w:color w:val="231F20"/>
        </w:rPr>
        <w:t>(1</w:t>
      </w:r>
      <w:r w:rsidR="00B30556" w:rsidRPr="00492CCC">
        <w:rPr>
          <w:rFonts w:cstheme="minorHAnsi"/>
          <w:color w:val="231F20"/>
        </w:rPr>
        <w:t>–</w:t>
      </w:r>
      <w:r w:rsidR="00567921" w:rsidRPr="00492CCC">
        <w:rPr>
          <w:rFonts w:cstheme="minorHAnsi"/>
          <w:iCs/>
          <w:color w:val="231F20"/>
        </w:rPr>
        <w:t>2)</w:t>
      </w:r>
      <w:r w:rsidRPr="00492CCC">
        <w:rPr>
          <w:rFonts w:cstheme="minorHAnsi"/>
          <w:iCs/>
          <w:color w:val="231F20"/>
        </w:rPr>
        <w:t>,</w:t>
      </w:r>
      <w:r w:rsidRPr="00492CCC">
        <w:rPr>
          <w:rFonts w:cstheme="minorHAnsi"/>
          <w:i/>
          <w:color w:val="231F20"/>
        </w:rPr>
        <w:t xml:space="preserve"> </w:t>
      </w:r>
      <w:r w:rsidRPr="00492CCC">
        <w:rPr>
          <w:rFonts w:cstheme="minorHAnsi"/>
          <w:color w:val="231F20"/>
        </w:rPr>
        <w:t xml:space="preserve">77–88. </w:t>
      </w:r>
      <w:hyperlink r:id="rId74" w:history="1">
        <w:r w:rsidR="001A5F8C" w:rsidRPr="00492CCC">
          <w:rPr>
            <w:rStyle w:val="Hyperlink"/>
            <w:rFonts w:cstheme="minorHAnsi"/>
          </w:rPr>
          <w:t>https://doi.org/10.1007/s10464-011-9478-2</w:t>
        </w:r>
      </w:hyperlink>
      <w:r w:rsidR="001A5F8C" w:rsidRPr="00492CCC">
        <w:rPr>
          <w:rFonts w:cstheme="minorHAnsi"/>
          <w:color w:val="231F20"/>
        </w:rPr>
        <w:t xml:space="preserve"> </w:t>
      </w:r>
    </w:p>
    <w:p w14:paraId="7858E91E" w14:textId="06C8EF68" w:rsidR="00124A6F" w:rsidRPr="00492CCC" w:rsidRDefault="00124A6F" w:rsidP="00773B36">
      <w:pPr>
        <w:ind w:left="720" w:hanging="720"/>
        <w:mirrorIndents/>
        <w:rPr>
          <w:rFonts w:cstheme="minorHAnsi"/>
        </w:rPr>
      </w:pPr>
      <w:r w:rsidRPr="00492CCC">
        <w:rPr>
          <w:rFonts w:cstheme="minorHAnsi"/>
          <w:color w:val="231F20"/>
        </w:rPr>
        <w:t xml:space="preserve">Torres-Harding, S. R., Steele, C., Schulz, E., Taha, F., &amp; Pico, C. (2014). Student perceptions of social justice and social justice activities. </w:t>
      </w:r>
      <w:r w:rsidRPr="00492CCC">
        <w:rPr>
          <w:rFonts w:cstheme="minorHAnsi"/>
          <w:i/>
          <w:color w:val="231F20"/>
        </w:rPr>
        <w:t>Education, Citizenship and Social Justice</w:t>
      </w:r>
      <w:r w:rsidRPr="00492CCC">
        <w:rPr>
          <w:rFonts w:cstheme="minorHAnsi"/>
          <w:iCs/>
          <w:color w:val="231F20"/>
        </w:rPr>
        <w:t>,</w:t>
      </w:r>
      <w:r w:rsidRPr="00492CCC">
        <w:rPr>
          <w:rFonts w:cstheme="minorHAnsi"/>
          <w:i/>
          <w:color w:val="231F20"/>
        </w:rPr>
        <w:t xml:space="preserve"> 9</w:t>
      </w:r>
      <w:r w:rsidR="00801837" w:rsidRPr="00492CCC">
        <w:rPr>
          <w:rFonts w:cstheme="minorHAnsi"/>
          <w:iCs/>
          <w:color w:val="231F20"/>
        </w:rPr>
        <w:t>(1)</w:t>
      </w:r>
      <w:r w:rsidRPr="00492CCC">
        <w:rPr>
          <w:rFonts w:cstheme="minorHAnsi"/>
          <w:iCs/>
          <w:color w:val="231F20"/>
        </w:rPr>
        <w:t>,</w:t>
      </w:r>
      <w:r w:rsidRPr="00492CCC">
        <w:rPr>
          <w:rFonts w:cstheme="minorHAnsi"/>
          <w:i/>
          <w:color w:val="231F20"/>
        </w:rPr>
        <w:t xml:space="preserve"> </w:t>
      </w:r>
      <w:r w:rsidRPr="00492CCC">
        <w:rPr>
          <w:rFonts w:cstheme="minorHAnsi"/>
          <w:color w:val="231F20"/>
        </w:rPr>
        <w:t xml:space="preserve">55–66. </w:t>
      </w:r>
      <w:hyperlink r:id="rId75" w:history="1">
        <w:r w:rsidR="001A5F8C" w:rsidRPr="00492CCC">
          <w:rPr>
            <w:rStyle w:val="Hyperlink"/>
            <w:rFonts w:cstheme="minorHAnsi"/>
          </w:rPr>
          <w:t>https://doi.org/10.1177/1746197914520655</w:t>
        </w:r>
      </w:hyperlink>
      <w:r w:rsidR="001A5F8C" w:rsidRPr="00492CCC">
        <w:rPr>
          <w:rFonts w:cstheme="minorHAnsi"/>
          <w:color w:val="231F20"/>
        </w:rPr>
        <w:t xml:space="preserve"> </w:t>
      </w:r>
    </w:p>
    <w:p w14:paraId="05F41438" w14:textId="1299CAF4" w:rsidR="00124A6F" w:rsidRPr="00492CCC" w:rsidRDefault="00124A6F" w:rsidP="00773B36">
      <w:pPr>
        <w:ind w:left="720" w:hanging="720"/>
        <w:mirrorIndents/>
        <w:rPr>
          <w:rFonts w:cstheme="minorHAnsi"/>
        </w:rPr>
      </w:pPr>
      <w:r w:rsidRPr="00492CCC">
        <w:rPr>
          <w:rFonts w:cstheme="minorHAnsi"/>
          <w:color w:val="231F20"/>
        </w:rPr>
        <w:t xml:space="preserve">van </w:t>
      </w:r>
      <w:proofErr w:type="spellStart"/>
      <w:r w:rsidRPr="00492CCC">
        <w:rPr>
          <w:rFonts w:cstheme="minorHAnsi"/>
          <w:color w:val="231F20"/>
        </w:rPr>
        <w:t>Zomeren</w:t>
      </w:r>
      <w:proofErr w:type="spellEnd"/>
      <w:r w:rsidRPr="00492CCC">
        <w:rPr>
          <w:rFonts w:cstheme="minorHAnsi"/>
          <w:color w:val="231F20"/>
        </w:rPr>
        <w:t xml:space="preserve">, M., </w:t>
      </w:r>
      <w:proofErr w:type="spellStart"/>
      <w:r w:rsidRPr="00492CCC">
        <w:rPr>
          <w:rFonts w:cstheme="minorHAnsi"/>
          <w:color w:val="231F20"/>
        </w:rPr>
        <w:t>Postmes</w:t>
      </w:r>
      <w:proofErr w:type="spellEnd"/>
      <w:r w:rsidRPr="00492CCC">
        <w:rPr>
          <w:rFonts w:cstheme="minorHAnsi"/>
          <w:color w:val="231F20"/>
        </w:rPr>
        <w:t xml:space="preserve">, T., &amp; Spears, R. (2008). Toward an integrative social identity model of collective action: A quantitative research synthesis of three socio-psychological perspectives. </w:t>
      </w:r>
      <w:r w:rsidRPr="00492CCC">
        <w:rPr>
          <w:rFonts w:cstheme="minorHAnsi"/>
          <w:i/>
          <w:color w:val="231F20"/>
        </w:rPr>
        <w:t>Psychological Bulletin</w:t>
      </w:r>
      <w:r w:rsidRPr="00492CCC">
        <w:rPr>
          <w:rFonts w:cstheme="minorHAnsi"/>
          <w:iCs/>
          <w:color w:val="231F20"/>
        </w:rPr>
        <w:t>,</w:t>
      </w:r>
      <w:r w:rsidRPr="00492CCC">
        <w:rPr>
          <w:rFonts w:cstheme="minorHAnsi"/>
          <w:i/>
          <w:color w:val="231F20"/>
        </w:rPr>
        <w:t xml:space="preserve"> 134</w:t>
      </w:r>
      <w:r w:rsidR="00801837" w:rsidRPr="00492CCC">
        <w:rPr>
          <w:rFonts w:cstheme="minorHAnsi"/>
          <w:iCs/>
          <w:color w:val="231F20"/>
        </w:rPr>
        <w:t>(4)</w:t>
      </w:r>
      <w:r w:rsidRPr="00492CCC">
        <w:rPr>
          <w:rFonts w:cstheme="minorHAnsi"/>
          <w:iCs/>
          <w:color w:val="231F20"/>
        </w:rPr>
        <w:t>,</w:t>
      </w:r>
      <w:r w:rsidRPr="00492CCC">
        <w:rPr>
          <w:rFonts w:cstheme="minorHAnsi"/>
          <w:i/>
          <w:color w:val="231F20"/>
        </w:rPr>
        <w:t xml:space="preserve"> </w:t>
      </w:r>
      <w:r w:rsidRPr="00492CCC">
        <w:rPr>
          <w:rFonts w:cstheme="minorHAnsi"/>
          <w:color w:val="231F20"/>
        </w:rPr>
        <w:t xml:space="preserve">504–535. </w:t>
      </w:r>
      <w:hyperlink r:id="rId76">
        <w:r w:rsidR="00801837" w:rsidRPr="00492CCC">
          <w:rPr>
            <w:rStyle w:val="Hyperlink"/>
          </w:rPr>
          <w:t>https://doi.org/</w:t>
        </w:r>
      </w:hyperlink>
      <w:hyperlink r:id="rId77">
        <w:r w:rsidR="00801837" w:rsidRPr="00492CCC">
          <w:rPr>
            <w:rStyle w:val="Hyperlink"/>
          </w:rPr>
          <w:t>10.1037/0033-2909.134.4.504</w:t>
        </w:r>
      </w:hyperlink>
    </w:p>
    <w:p w14:paraId="7FB8669B" w14:textId="7692DE09" w:rsidR="00124A6F" w:rsidRPr="00492CCC" w:rsidRDefault="00124A6F" w:rsidP="00773B36">
      <w:pPr>
        <w:ind w:left="720" w:hanging="720"/>
        <w:mirrorIndents/>
        <w:rPr>
          <w:rFonts w:cstheme="minorHAnsi"/>
        </w:rPr>
      </w:pPr>
      <w:r w:rsidRPr="00492CCC">
        <w:rPr>
          <w:rFonts w:cstheme="minorHAnsi"/>
          <w:color w:val="231F20"/>
        </w:rPr>
        <w:lastRenderedPageBreak/>
        <w:t xml:space="preserve">Watts, R. J., &amp; Flanagan, C. (2007). Pushing the envelope on youth civic engagement: A developmental and liberation psychology perspective. </w:t>
      </w:r>
      <w:r w:rsidRPr="00492CCC">
        <w:rPr>
          <w:rFonts w:cstheme="minorHAnsi"/>
          <w:i/>
          <w:color w:val="231F20"/>
        </w:rPr>
        <w:t>Journal of Community Psychology</w:t>
      </w:r>
      <w:r w:rsidRPr="00492CCC">
        <w:rPr>
          <w:rFonts w:cstheme="minorHAnsi"/>
          <w:iCs/>
          <w:color w:val="231F20"/>
        </w:rPr>
        <w:t>,</w:t>
      </w:r>
      <w:r w:rsidRPr="00492CCC">
        <w:rPr>
          <w:rFonts w:cstheme="minorHAnsi"/>
          <w:i/>
          <w:color w:val="231F20"/>
        </w:rPr>
        <w:t xml:space="preserve"> 35</w:t>
      </w:r>
      <w:r w:rsidR="00801837" w:rsidRPr="00492CCC">
        <w:rPr>
          <w:rFonts w:cstheme="minorHAnsi"/>
          <w:iCs/>
          <w:color w:val="231F20"/>
        </w:rPr>
        <w:t>(6)</w:t>
      </w:r>
      <w:r w:rsidRPr="00492CCC">
        <w:rPr>
          <w:rFonts w:cstheme="minorHAnsi"/>
          <w:iCs/>
          <w:color w:val="231F20"/>
        </w:rPr>
        <w:t>,</w:t>
      </w:r>
      <w:r w:rsidRPr="00492CCC">
        <w:rPr>
          <w:rFonts w:cstheme="minorHAnsi"/>
          <w:i/>
          <w:color w:val="231F20"/>
        </w:rPr>
        <w:t xml:space="preserve"> </w:t>
      </w:r>
      <w:r w:rsidRPr="00492CCC">
        <w:rPr>
          <w:rFonts w:cstheme="minorHAnsi"/>
          <w:color w:val="231F20"/>
        </w:rPr>
        <w:t xml:space="preserve">779–792. </w:t>
      </w:r>
      <w:hyperlink r:id="rId78">
        <w:r w:rsidR="00801837" w:rsidRPr="00492CCC">
          <w:rPr>
            <w:rStyle w:val="Hyperlink"/>
          </w:rPr>
          <w:t>https://doi.org/10.1002/jcop.20178</w:t>
        </w:r>
      </w:hyperlink>
    </w:p>
    <w:p w14:paraId="5333ED79" w14:textId="53877053" w:rsidR="00454249" w:rsidRPr="00492CCC" w:rsidRDefault="00124A6F" w:rsidP="00A86E93">
      <w:pPr>
        <w:ind w:left="720" w:hanging="720"/>
        <w:mirrorIndents/>
        <w:rPr>
          <w:rFonts w:cstheme="minorHAnsi"/>
        </w:rPr>
      </w:pPr>
      <w:r w:rsidRPr="00492CCC">
        <w:rPr>
          <w:rFonts w:cstheme="minorHAnsi"/>
          <w:color w:val="231F20"/>
        </w:rPr>
        <w:t xml:space="preserve">Zimmerman, L., Kamal, Z., &amp; Kim, H. (2013). Pedagogy of the logic model: Teaching undergraduates to work together to change their communities. </w:t>
      </w:r>
      <w:r w:rsidRPr="00492CCC">
        <w:rPr>
          <w:rFonts w:cstheme="minorHAnsi"/>
          <w:i/>
          <w:color w:val="231F20"/>
        </w:rPr>
        <w:t>Journal of Prevention &amp; Intervention in the Community</w:t>
      </w:r>
      <w:r w:rsidRPr="00492CCC">
        <w:rPr>
          <w:rFonts w:cstheme="minorHAnsi"/>
          <w:iCs/>
          <w:color w:val="231F20"/>
        </w:rPr>
        <w:t>,</w:t>
      </w:r>
      <w:r w:rsidRPr="00492CCC">
        <w:rPr>
          <w:rFonts w:cstheme="minorHAnsi"/>
          <w:i/>
          <w:color w:val="231F20"/>
        </w:rPr>
        <w:t xml:space="preserve"> 41</w:t>
      </w:r>
      <w:r w:rsidR="00801837" w:rsidRPr="00492CCC">
        <w:rPr>
          <w:rFonts w:cstheme="minorHAnsi"/>
          <w:iCs/>
          <w:color w:val="231F20"/>
        </w:rPr>
        <w:t>(2)</w:t>
      </w:r>
      <w:r w:rsidRPr="00492CCC">
        <w:rPr>
          <w:rFonts w:cstheme="minorHAnsi"/>
          <w:iCs/>
          <w:color w:val="231F20"/>
        </w:rPr>
        <w:t>,</w:t>
      </w:r>
      <w:r w:rsidRPr="00492CCC">
        <w:rPr>
          <w:rFonts w:cstheme="minorHAnsi"/>
          <w:i/>
          <w:color w:val="231F20"/>
        </w:rPr>
        <w:t xml:space="preserve"> </w:t>
      </w:r>
      <w:r w:rsidRPr="00492CCC">
        <w:rPr>
          <w:rFonts w:cstheme="minorHAnsi"/>
          <w:color w:val="231F20"/>
        </w:rPr>
        <w:t xml:space="preserve">121–127. </w:t>
      </w:r>
      <w:hyperlink r:id="rId79">
        <w:r w:rsidR="00801837" w:rsidRPr="00492CCC">
          <w:rPr>
            <w:rStyle w:val="Hyperlink"/>
            <w:rFonts w:cstheme="minorHAnsi"/>
          </w:rPr>
          <w:t>https://doi.org/10.1080/</w:t>
        </w:r>
      </w:hyperlink>
      <w:hyperlink r:id="rId80">
        <w:r w:rsidR="00801837" w:rsidRPr="00492CCC">
          <w:rPr>
            <w:rStyle w:val="Hyperlink"/>
            <w:rFonts w:cstheme="minorHAnsi"/>
          </w:rPr>
          <w:t>10852352.2013.757990</w:t>
        </w:r>
      </w:hyperlink>
    </w:p>
    <w:sectPr w:rsidR="00454249" w:rsidRPr="00492CCC" w:rsidSect="00875D93">
      <w:headerReference w:type="default" r:id="rId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28745" w14:textId="77777777" w:rsidR="00286AE0" w:rsidRDefault="00286AE0" w:rsidP="00454249">
      <w:pPr>
        <w:spacing w:line="240" w:lineRule="auto"/>
      </w:pPr>
      <w:r>
        <w:separator/>
      </w:r>
    </w:p>
  </w:endnote>
  <w:endnote w:type="continuationSeparator" w:id="0">
    <w:p w14:paraId="1EE0C6AC" w14:textId="77777777" w:rsidR="00286AE0" w:rsidRDefault="00286AE0" w:rsidP="004542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91269" w14:textId="77777777" w:rsidR="00286AE0" w:rsidRDefault="00286AE0" w:rsidP="00454249">
      <w:pPr>
        <w:spacing w:line="240" w:lineRule="auto"/>
      </w:pPr>
      <w:r>
        <w:separator/>
      </w:r>
    </w:p>
  </w:footnote>
  <w:footnote w:type="continuationSeparator" w:id="0">
    <w:p w14:paraId="795FBB72" w14:textId="77777777" w:rsidR="00286AE0" w:rsidRDefault="00286AE0" w:rsidP="004542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0773978"/>
      <w:docPartObj>
        <w:docPartGallery w:val="Page Numbers (Top of Page)"/>
        <w:docPartUnique/>
      </w:docPartObj>
    </w:sdtPr>
    <w:sdtEndPr>
      <w:rPr>
        <w:noProof/>
      </w:rPr>
    </w:sdtEndPr>
    <w:sdtContent>
      <w:p w14:paraId="25753220" w14:textId="25E29F66" w:rsidR="00286AE0" w:rsidRPr="00454249" w:rsidRDefault="00286AE0" w:rsidP="00326C8F">
        <w:pPr>
          <w:spacing w:before="14"/>
          <w:ind w:left="20"/>
          <w:rPr>
            <w:sz w:val="16"/>
          </w:rPr>
        </w:pPr>
        <w:r w:rsidRPr="000E070F">
          <w:rPr>
            <w:color w:val="231F20"/>
          </w:rPr>
          <w:t>I AM A CHANGE AGENT</w:t>
        </w:r>
        <w:r>
          <w:rPr>
            <w:color w:val="231F20"/>
            <w:sz w:val="16"/>
          </w:rPr>
          <w:tab/>
          <w:t xml:space="preserve"> </w:t>
        </w:r>
        <w:r>
          <w:rPr>
            <w:color w:val="231F20"/>
            <w:sz w:val="16"/>
          </w:rPr>
          <w:tab/>
        </w:r>
        <w:r>
          <w:rPr>
            <w:color w:val="231F20"/>
            <w:sz w:val="16"/>
          </w:rPr>
          <w:tab/>
        </w:r>
        <w:r>
          <w:rPr>
            <w:color w:val="231F20"/>
            <w:sz w:val="16"/>
          </w:rPr>
          <w:tab/>
        </w:r>
        <w:r>
          <w:rPr>
            <w:color w:val="231F20"/>
            <w:sz w:val="16"/>
          </w:rPr>
          <w:tab/>
        </w:r>
        <w:r>
          <w:rPr>
            <w:color w:val="231F20"/>
            <w:sz w:val="16"/>
          </w:rPr>
          <w:tab/>
          <w:t xml:space="preserve">                                                                    </w:t>
        </w:r>
        <w:r>
          <w:fldChar w:fldCharType="begin"/>
        </w:r>
        <w:r>
          <w:instrText xml:space="preserve"> PAGE   \* MERGEFORMAT </w:instrText>
        </w:r>
        <w:r>
          <w:fldChar w:fldCharType="separate"/>
        </w:r>
        <w:r>
          <w:rPr>
            <w:noProof/>
          </w:rPr>
          <w:t>2</w:t>
        </w:r>
        <w:r>
          <w:rPr>
            <w:noProof/>
          </w:rPr>
          <w:fldChar w:fldCharType="end"/>
        </w:r>
      </w:p>
    </w:sdtContent>
  </w:sdt>
  <w:p w14:paraId="267B3ED1" w14:textId="77777777" w:rsidR="00286AE0" w:rsidRDefault="00286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5" type="#_x0000_t75" style="width:50.1pt;height:49.55pt;visibility:visible;mso-wrap-style:square" o:bullet="t">
        <v:imagedata r:id="rId1" o:title=""/>
      </v:shape>
    </w:pict>
  </w:numPicBullet>
  <w:abstractNum w:abstractNumId="0" w15:restartNumberingAfterBreak="0">
    <w:nsid w:val="1A8D36E7"/>
    <w:multiLevelType w:val="hybridMultilevel"/>
    <w:tmpl w:val="F48435D8"/>
    <w:lvl w:ilvl="0" w:tplc="F3FCBF3E">
      <w:start w:val="1"/>
      <w:numFmt w:val="bullet"/>
      <w:lvlText w:val=""/>
      <w:lvlPicBulletId w:val="0"/>
      <w:lvlJc w:val="left"/>
      <w:pPr>
        <w:tabs>
          <w:tab w:val="num" w:pos="960"/>
        </w:tabs>
        <w:ind w:left="960" w:hanging="360"/>
      </w:pPr>
      <w:rPr>
        <w:rFonts w:ascii="Symbol" w:hAnsi="Symbol" w:hint="default"/>
      </w:rPr>
    </w:lvl>
    <w:lvl w:ilvl="1" w:tplc="2DACA5B8" w:tentative="1">
      <w:start w:val="1"/>
      <w:numFmt w:val="bullet"/>
      <w:lvlText w:val=""/>
      <w:lvlJc w:val="left"/>
      <w:pPr>
        <w:tabs>
          <w:tab w:val="num" w:pos="1680"/>
        </w:tabs>
        <w:ind w:left="1680" w:hanging="360"/>
      </w:pPr>
      <w:rPr>
        <w:rFonts w:ascii="Symbol" w:hAnsi="Symbol" w:hint="default"/>
      </w:rPr>
    </w:lvl>
    <w:lvl w:ilvl="2" w:tplc="F95A89CC" w:tentative="1">
      <w:start w:val="1"/>
      <w:numFmt w:val="bullet"/>
      <w:lvlText w:val=""/>
      <w:lvlJc w:val="left"/>
      <w:pPr>
        <w:tabs>
          <w:tab w:val="num" w:pos="2400"/>
        </w:tabs>
        <w:ind w:left="2400" w:hanging="360"/>
      </w:pPr>
      <w:rPr>
        <w:rFonts w:ascii="Symbol" w:hAnsi="Symbol" w:hint="default"/>
      </w:rPr>
    </w:lvl>
    <w:lvl w:ilvl="3" w:tplc="D868B020" w:tentative="1">
      <w:start w:val="1"/>
      <w:numFmt w:val="bullet"/>
      <w:lvlText w:val=""/>
      <w:lvlJc w:val="left"/>
      <w:pPr>
        <w:tabs>
          <w:tab w:val="num" w:pos="3120"/>
        </w:tabs>
        <w:ind w:left="3120" w:hanging="360"/>
      </w:pPr>
      <w:rPr>
        <w:rFonts w:ascii="Symbol" w:hAnsi="Symbol" w:hint="default"/>
      </w:rPr>
    </w:lvl>
    <w:lvl w:ilvl="4" w:tplc="3C5E367E" w:tentative="1">
      <w:start w:val="1"/>
      <w:numFmt w:val="bullet"/>
      <w:lvlText w:val=""/>
      <w:lvlJc w:val="left"/>
      <w:pPr>
        <w:tabs>
          <w:tab w:val="num" w:pos="3840"/>
        </w:tabs>
        <w:ind w:left="3840" w:hanging="360"/>
      </w:pPr>
      <w:rPr>
        <w:rFonts w:ascii="Symbol" w:hAnsi="Symbol" w:hint="default"/>
      </w:rPr>
    </w:lvl>
    <w:lvl w:ilvl="5" w:tplc="F1306D6A" w:tentative="1">
      <w:start w:val="1"/>
      <w:numFmt w:val="bullet"/>
      <w:lvlText w:val=""/>
      <w:lvlJc w:val="left"/>
      <w:pPr>
        <w:tabs>
          <w:tab w:val="num" w:pos="4560"/>
        </w:tabs>
        <w:ind w:left="4560" w:hanging="360"/>
      </w:pPr>
      <w:rPr>
        <w:rFonts w:ascii="Symbol" w:hAnsi="Symbol" w:hint="default"/>
      </w:rPr>
    </w:lvl>
    <w:lvl w:ilvl="6" w:tplc="F5AA3F58" w:tentative="1">
      <w:start w:val="1"/>
      <w:numFmt w:val="bullet"/>
      <w:lvlText w:val=""/>
      <w:lvlJc w:val="left"/>
      <w:pPr>
        <w:tabs>
          <w:tab w:val="num" w:pos="5280"/>
        </w:tabs>
        <w:ind w:left="5280" w:hanging="360"/>
      </w:pPr>
      <w:rPr>
        <w:rFonts w:ascii="Symbol" w:hAnsi="Symbol" w:hint="default"/>
      </w:rPr>
    </w:lvl>
    <w:lvl w:ilvl="7" w:tplc="838E4BF0" w:tentative="1">
      <w:start w:val="1"/>
      <w:numFmt w:val="bullet"/>
      <w:lvlText w:val=""/>
      <w:lvlJc w:val="left"/>
      <w:pPr>
        <w:tabs>
          <w:tab w:val="num" w:pos="6000"/>
        </w:tabs>
        <w:ind w:left="6000" w:hanging="360"/>
      </w:pPr>
      <w:rPr>
        <w:rFonts w:ascii="Symbol" w:hAnsi="Symbol" w:hint="default"/>
      </w:rPr>
    </w:lvl>
    <w:lvl w:ilvl="8" w:tplc="97F05650" w:tentative="1">
      <w:start w:val="1"/>
      <w:numFmt w:val="bullet"/>
      <w:lvlText w:val=""/>
      <w:lvlJc w:val="left"/>
      <w:pPr>
        <w:tabs>
          <w:tab w:val="num" w:pos="6720"/>
        </w:tabs>
        <w:ind w:left="6720" w:hanging="360"/>
      </w:pPr>
      <w:rPr>
        <w:rFonts w:ascii="Symbol" w:hAnsi="Symbol" w:hint="default"/>
      </w:rPr>
    </w:lvl>
  </w:abstractNum>
  <w:abstractNum w:abstractNumId="1" w15:restartNumberingAfterBreak="0">
    <w:nsid w:val="2AD45276"/>
    <w:multiLevelType w:val="hybridMultilevel"/>
    <w:tmpl w:val="7D6E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B1942"/>
    <w:multiLevelType w:val="multilevel"/>
    <w:tmpl w:val="3CCA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192455"/>
    <w:multiLevelType w:val="multilevel"/>
    <w:tmpl w:val="F50A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332814">
    <w:abstractNumId w:val="2"/>
  </w:num>
  <w:num w:numId="2" w16cid:durableId="213274327">
    <w:abstractNumId w:val="3"/>
  </w:num>
  <w:num w:numId="3" w16cid:durableId="326325146">
    <w:abstractNumId w:val="1"/>
  </w:num>
  <w:num w:numId="4" w16cid:durableId="2072805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attachedTemplate r:id="rId1"/>
  <w:linkStyl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49"/>
    <w:rsid w:val="00067B87"/>
    <w:rsid w:val="0008297E"/>
    <w:rsid w:val="000A356D"/>
    <w:rsid w:val="000C3C59"/>
    <w:rsid w:val="000D1FDE"/>
    <w:rsid w:val="000E070F"/>
    <w:rsid w:val="00124A6F"/>
    <w:rsid w:val="001A5F8C"/>
    <w:rsid w:val="00286AE0"/>
    <w:rsid w:val="00287F11"/>
    <w:rsid w:val="00303324"/>
    <w:rsid w:val="00324759"/>
    <w:rsid w:val="00326C8F"/>
    <w:rsid w:val="00355A94"/>
    <w:rsid w:val="00365140"/>
    <w:rsid w:val="00383184"/>
    <w:rsid w:val="0039071B"/>
    <w:rsid w:val="003B1055"/>
    <w:rsid w:val="003D52AE"/>
    <w:rsid w:val="00430F2F"/>
    <w:rsid w:val="00434AB8"/>
    <w:rsid w:val="00454249"/>
    <w:rsid w:val="00463D64"/>
    <w:rsid w:val="00464B11"/>
    <w:rsid w:val="0048686A"/>
    <w:rsid w:val="00492CCC"/>
    <w:rsid w:val="00505B30"/>
    <w:rsid w:val="00522143"/>
    <w:rsid w:val="0052783B"/>
    <w:rsid w:val="00567921"/>
    <w:rsid w:val="00587B78"/>
    <w:rsid w:val="005935D6"/>
    <w:rsid w:val="00593933"/>
    <w:rsid w:val="005A1E29"/>
    <w:rsid w:val="005A2AFB"/>
    <w:rsid w:val="00610107"/>
    <w:rsid w:val="00622444"/>
    <w:rsid w:val="006B26A1"/>
    <w:rsid w:val="006D640E"/>
    <w:rsid w:val="007064FF"/>
    <w:rsid w:val="007175AF"/>
    <w:rsid w:val="00773B36"/>
    <w:rsid w:val="007811D7"/>
    <w:rsid w:val="007A0D96"/>
    <w:rsid w:val="00801837"/>
    <w:rsid w:val="0080784E"/>
    <w:rsid w:val="00831398"/>
    <w:rsid w:val="008328EE"/>
    <w:rsid w:val="00846CC2"/>
    <w:rsid w:val="00875D93"/>
    <w:rsid w:val="008E2FBD"/>
    <w:rsid w:val="00907405"/>
    <w:rsid w:val="00942B54"/>
    <w:rsid w:val="0094578E"/>
    <w:rsid w:val="009C2AD5"/>
    <w:rsid w:val="009D7951"/>
    <w:rsid w:val="00A07D13"/>
    <w:rsid w:val="00A16A59"/>
    <w:rsid w:val="00A2493A"/>
    <w:rsid w:val="00A2631F"/>
    <w:rsid w:val="00A6074E"/>
    <w:rsid w:val="00A61B2D"/>
    <w:rsid w:val="00A86E93"/>
    <w:rsid w:val="00AA3846"/>
    <w:rsid w:val="00AD0D41"/>
    <w:rsid w:val="00B30556"/>
    <w:rsid w:val="00B52CB7"/>
    <w:rsid w:val="00B66443"/>
    <w:rsid w:val="00B67E48"/>
    <w:rsid w:val="00BB07D4"/>
    <w:rsid w:val="00C465CF"/>
    <w:rsid w:val="00C51321"/>
    <w:rsid w:val="00C62116"/>
    <w:rsid w:val="00C87E95"/>
    <w:rsid w:val="00CA62D1"/>
    <w:rsid w:val="00CD16F9"/>
    <w:rsid w:val="00CE59DC"/>
    <w:rsid w:val="00D04324"/>
    <w:rsid w:val="00D55A71"/>
    <w:rsid w:val="00D8335B"/>
    <w:rsid w:val="00D857C2"/>
    <w:rsid w:val="00DC077B"/>
    <w:rsid w:val="00E20472"/>
    <w:rsid w:val="00E64911"/>
    <w:rsid w:val="00EA04A6"/>
    <w:rsid w:val="00EA6484"/>
    <w:rsid w:val="00EB4EBF"/>
    <w:rsid w:val="00ED64FB"/>
    <w:rsid w:val="00EF6AE7"/>
    <w:rsid w:val="00F838A7"/>
    <w:rsid w:val="00FC739A"/>
    <w:rsid w:val="00FF1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64A3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71B"/>
    <w:pPr>
      <w:spacing w:after="0" w:line="480" w:lineRule="auto"/>
    </w:pPr>
    <w:rPr>
      <w:rFonts w:ascii="Aptos" w:hAnsi="Aptos" w:cs="Arial"/>
    </w:rPr>
  </w:style>
  <w:style w:type="paragraph" w:styleId="Heading1">
    <w:name w:val="heading 1"/>
    <w:basedOn w:val="Normal"/>
    <w:next w:val="Normal"/>
    <w:link w:val="Heading1Char"/>
    <w:uiPriority w:val="9"/>
    <w:qFormat/>
    <w:rsid w:val="0039071B"/>
    <w:pPr>
      <w:jc w:val="center"/>
      <w:outlineLvl w:val="0"/>
    </w:pPr>
    <w:rPr>
      <w:b/>
    </w:rPr>
  </w:style>
  <w:style w:type="paragraph" w:styleId="Heading2">
    <w:name w:val="heading 2"/>
    <w:basedOn w:val="Normal"/>
    <w:next w:val="Normal"/>
    <w:link w:val="Heading2Char"/>
    <w:uiPriority w:val="9"/>
    <w:unhideWhenUsed/>
    <w:qFormat/>
    <w:rsid w:val="0039071B"/>
    <w:pPr>
      <w:keepNext/>
      <w:keepLines/>
      <w:outlineLvl w:val="1"/>
    </w:pPr>
    <w:rPr>
      <w:rFonts w:eastAsiaTheme="majorEastAsia"/>
      <w:b/>
      <w:bCs/>
    </w:rPr>
  </w:style>
  <w:style w:type="paragraph" w:styleId="Heading3">
    <w:name w:val="heading 3"/>
    <w:basedOn w:val="Normal"/>
    <w:next w:val="Normal"/>
    <w:link w:val="Heading3Char"/>
    <w:uiPriority w:val="9"/>
    <w:unhideWhenUsed/>
    <w:qFormat/>
    <w:rsid w:val="0039071B"/>
    <w:pPr>
      <w:keepNext/>
      <w:keepLines/>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39071B"/>
    <w:pPr>
      <w:keepNext/>
      <w:keepLines/>
      <w:widowControl w:val="0"/>
      <w:ind w:firstLine="720"/>
      <w:outlineLvl w:val="3"/>
    </w:pPr>
    <w:rPr>
      <w:rFonts w:eastAsiaTheme="majorEastAsia" w:cstheme="majorBidi"/>
      <w:b/>
      <w:iCs/>
      <w:szCs w:val="24"/>
      <w:lang w:bidi="en-US"/>
    </w:rPr>
  </w:style>
  <w:style w:type="paragraph" w:styleId="Heading5">
    <w:name w:val="heading 5"/>
    <w:basedOn w:val="Normal"/>
    <w:next w:val="Normal"/>
    <w:link w:val="Heading5Char"/>
    <w:uiPriority w:val="9"/>
    <w:unhideWhenUsed/>
    <w:qFormat/>
    <w:rsid w:val="0039071B"/>
    <w:pPr>
      <w:keepNext/>
      <w:keepLines/>
      <w:ind w:firstLine="720"/>
      <w:outlineLvl w:val="4"/>
    </w:pPr>
    <w:rPr>
      <w:rFonts w:eastAsiaTheme="majorEastAsia" w:cstheme="majorBidi"/>
      <w:b/>
      <w:i/>
    </w:rPr>
  </w:style>
  <w:style w:type="character" w:default="1" w:styleId="DefaultParagraphFont">
    <w:name w:val="Default Paragraph Font"/>
    <w:uiPriority w:val="1"/>
    <w:semiHidden/>
    <w:unhideWhenUsed/>
    <w:rsid w:val="0039071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9071B"/>
  </w:style>
  <w:style w:type="character" w:customStyle="1" w:styleId="Heading1Char">
    <w:name w:val="Heading 1 Char"/>
    <w:basedOn w:val="DefaultParagraphFont"/>
    <w:link w:val="Heading1"/>
    <w:uiPriority w:val="9"/>
    <w:rsid w:val="0039071B"/>
    <w:rPr>
      <w:rFonts w:ascii="Aptos" w:hAnsi="Aptos" w:cs="Arial"/>
      <w:b/>
    </w:rPr>
  </w:style>
  <w:style w:type="character" w:customStyle="1" w:styleId="Heading4Char">
    <w:name w:val="Heading 4 Char"/>
    <w:basedOn w:val="DefaultParagraphFont"/>
    <w:link w:val="Heading4"/>
    <w:uiPriority w:val="9"/>
    <w:rsid w:val="0039071B"/>
    <w:rPr>
      <w:rFonts w:ascii="Aptos" w:eastAsiaTheme="majorEastAsia" w:hAnsi="Aptos" w:cstheme="majorBidi"/>
      <w:b/>
      <w:iCs/>
      <w:szCs w:val="24"/>
      <w:lang w:bidi="en-US"/>
    </w:rPr>
  </w:style>
  <w:style w:type="paragraph" w:styleId="BodyText">
    <w:name w:val="Body Text"/>
    <w:basedOn w:val="Normal"/>
    <w:link w:val="BodyTextChar"/>
    <w:uiPriority w:val="1"/>
    <w:qFormat/>
    <w:rsid w:val="0039071B"/>
    <w:pPr>
      <w:ind w:firstLine="720"/>
    </w:pPr>
  </w:style>
  <w:style w:type="character" w:customStyle="1" w:styleId="BodyTextChar">
    <w:name w:val="Body Text Char"/>
    <w:basedOn w:val="DefaultParagraphFont"/>
    <w:link w:val="BodyText"/>
    <w:uiPriority w:val="1"/>
    <w:rsid w:val="0039071B"/>
    <w:rPr>
      <w:rFonts w:ascii="Aptos" w:hAnsi="Aptos" w:cs="Arial"/>
    </w:rPr>
  </w:style>
  <w:style w:type="character" w:customStyle="1" w:styleId="Heading2Char">
    <w:name w:val="Heading 2 Char"/>
    <w:basedOn w:val="DefaultParagraphFont"/>
    <w:link w:val="Heading2"/>
    <w:uiPriority w:val="9"/>
    <w:rsid w:val="0039071B"/>
    <w:rPr>
      <w:rFonts w:ascii="Aptos" w:eastAsiaTheme="majorEastAsia" w:hAnsi="Aptos" w:cs="Arial"/>
      <w:b/>
      <w:bCs/>
    </w:rPr>
  </w:style>
  <w:style w:type="paragraph" w:styleId="ListParagraph">
    <w:name w:val="List Paragraph"/>
    <w:basedOn w:val="Normal"/>
    <w:uiPriority w:val="1"/>
    <w:qFormat/>
    <w:rsid w:val="00454249"/>
    <w:pPr>
      <w:widowControl w:val="0"/>
      <w:autoSpaceDE w:val="0"/>
      <w:autoSpaceDN w:val="0"/>
      <w:spacing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39071B"/>
    <w:pPr>
      <w:tabs>
        <w:tab w:val="center" w:pos="4680"/>
        <w:tab w:val="right" w:pos="9360"/>
      </w:tabs>
      <w:spacing w:line="240" w:lineRule="auto"/>
    </w:pPr>
  </w:style>
  <w:style w:type="character" w:customStyle="1" w:styleId="HeaderChar">
    <w:name w:val="Header Char"/>
    <w:basedOn w:val="DefaultParagraphFont"/>
    <w:link w:val="Header"/>
    <w:uiPriority w:val="99"/>
    <w:rsid w:val="0039071B"/>
    <w:rPr>
      <w:rFonts w:ascii="Aptos" w:hAnsi="Aptos" w:cs="Arial"/>
    </w:rPr>
  </w:style>
  <w:style w:type="paragraph" w:styleId="Footer">
    <w:name w:val="footer"/>
    <w:basedOn w:val="Normal"/>
    <w:link w:val="FooterChar"/>
    <w:uiPriority w:val="99"/>
    <w:unhideWhenUsed/>
    <w:rsid w:val="0039071B"/>
    <w:pPr>
      <w:tabs>
        <w:tab w:val="center" w:pos="4680"/>
        <w:tab w:val="right" w:pos="9360"/>
      </w:tabs>
      <w:spacing w:line="240" w:lineRule="auto"/>
    </w:pPr>
  </w:style>
  <w:style w:type="character" w:customStyle="1" w:styleId="FooterChar">
    <w:name w:val="Footer Char"/>
    <w:basedOn w:val="DefaultParagraphFont"/>
    <w:link w:val="Footer"/>
    <w:uiPriority w:val="99"/>
    <w:rsid w:val="0039071B"/>
    <w:rPr>
      <w:rFonts w:ascii="Aptos" w:hAnsi="Aptos" w:cs="Arial"/>
    </w:rPr>
  </w:style>
  <w:style w:type="paragraph" w:customStyle="1" w:styleId="TableParagraph">
    <w:name w:val="Table Paragraph"/>
    <w:basedOn w:val="Normal"/>
    <w:uiPriority w:val="1"/>
    <w:qFormat/>
    <w:rsid w:val="00124A6F"/>
    <w:pPr>
      <w:widowControl w:val="0"/>
      <w:autoSpaceDE w:val="0"/>
      <w:autoSpaceDN w:val="0"/>
      <w:spacing w:line="170" w:lineRule="exact"/>
      <w:jc w:val="center"/>
    </w:pPr>
    <w:rPr>
      <w:rFonts w:ascii="Times New Roman" w:eastAsia="Times New Roman" w:hAnsi="Times New Roman" w:cs="Times New Roman"/>
    </w:rPr>
  </w:style>
  <w:style w:type="character" w:styleId="Hyperlink">
    <w:name w:val="Hyperlink"/>
    <w:basedOn w:val="DefaultParagraphFont"/>
    <w:uiPriority w:val="99"/>
    <w:unhideWhenUsed/>
    <w:rsid w:val="0039071B"/>
    <w:rPr>
      <w:color w:val="0563C1" w:themeColor="hyperlink"/>
      <w:u w:val="single"/>
    </w:rPr>
  </w:style>
  <w:style w:type="character" w:styleId="UnresolvedMention">
    <w:name w:val="Unresolved Mention"/>
    <w:basedOn w:val="DefaultParagraphFont"/>
    <w:uiPriority w:val="99"/>
    <w:semiHidden/>
    <w:unhideWhenUsed/>
    <w:rsid w:val="0039071B"/>
    <w:rPr>
      <w:color w:val="605E5C"/>
      <w:shd w:val="clear" w:color="auto" w:fill="E1DFDD"/>
    </w:rPr>
  </w:style>
  <w:style w:type="table" w:styleId="TableGrid">
    <w:name w:val="Table Grid"/>
    <w:basedOn w:val="TableNormal"/>
    <w:uiPriority w:val="39"/>
    <w:rsid w:val="00C46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071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71B"/>
    <w:rPr>
      <w:rFonts w:ascii="Segoe UI" w:hAnsi="Segoe UI" w:cs="Segoe UI"/>
      <w:sz w:val="18"/>
      <w:szCs w:val="18"/>
    </w:rPr>
  </w:style>
  <w:style w:type="character" w:styleId="FollowedHyperlink">
    <w:name w:val="FollowedHyperlink"/>
    <w:basedOn w:val="DefaultParagraphFont"/>
    <w:uiPriority w:val="99"/>
    <w:semiHidden/>
    <w:unhideWhenUsed/>
    <w:rsid w:val="0039071B"/>
    <w:rPr>
      <w:color w:val="954F72" w:themeColor="followedHyperlink"/>
      <w:u w:val="single"/>
    </w:rPr>
  </w:style>
  <w:style w:type="paragraph" w:styleId="Quote">
    <w:name w:val="Quote"/>
    <w:basedOn w:val="BodyText"/>
    <w:next w:val="Normal"/>
    <w:link w:val="QuoteChar"/>
    <w:uiPriority w:val="29"/>
    <w:qFormat/>
    <w:rsid w:val="0039071B"/>
    <w:pPr>
      <w:ind w:left="720" w:firstLine="0"/>
    </w:pPr>
  </w:style>
  <w:style w:type="character" w:customStyle="1" w:styleId="QuoteChar">
    <w:name w:val="Quote Char"/>
    <w:basedOn w:val="DefaultParagraphFont"/>
    <w:link w:val="Quote"/>
    <w:uiPriority w:val="29"/>
    <w:rsid w:val="0039071B"/>
    <w:rPr>
      <w:rFonts w:ascii="Aptos" w:hAnsi="Aptos" w:cs="Arial"/>
    </w:rPr>
  </w:style>
  <w:style w:type="character" w:styleId="CommentReference">
    <w:name w:val="annotation reference"/>
    <w:basedOn w:val="DefaultParagraphFont"/>
    <w:uiPriority w:val="99"/>
    <w:semiHidden/>
    <w:unhideWhenUsed/>
    <w:rsid w:val="0039071B"/>
    <w:rPr>
      <w:sz w:val="16"/>
      <w:szCs w:val="16"/>
    </w:rPr>
  </w:style>
  <w:style w:type="paragraph" w:styleId="CommentText">
    <w:name w:val="annotation text"/>
    <w:basedOn w:val="Normal"/>
    <w:link w:val="CommentTextChar"/>
    <w:uiPriority w:val="99"/>
    <w:semiHidden/>
    <w:unhideWhenUsed/>
    <w:rsid w:val="0039071B"/>
    <w:pPr>
      <w:spacing w:line="240" w:lineRule="auto"/>
    </w:pPr>
    <w:rPr>
      <w:sz w:val="20"/>
      <w:szCs w:val="20"/>
    </w:rPr>
  </w:style>
  <w:style w:type="character" w:customStyle="1" w:styleId="CommentTextChar">
    <w:name w:val="Comment Text Char"/>
    <w:basedOn w:val="DefaultParagraphFont"/>
    <w:link w:val="CommentText"/>
    <w:uiPriority w:val="99"/>
    <w:semiHidden/>
    <w:rsid w:val="0039071B"/>
    <w:rPr>
      <w:rFonts w:ascii="Aptos" w:hAnsi="Aptos" w:cs="Arial"/>
      <w:sz w:val="20"/>
      <w:szCs w:val="20"/>
    </w:rPr>
  </w:style>
  <w:style w:type="paragraph" w:styleId="CommentSubject">
    <w:name w:val="annotation subject"/>
    <w:basedOn w:val="CommentText"/>
    <w:next w:val="CommentText"/>
    <w:link w:val="CommentSubjectChar"/>
    <w:uiPriority w:val="99"/>
    <w:semiHidden/>
    <w:unhideWhenUsed/>
    <w:rsid w:val="0039071B"/>
    <w:rPr>
      <w:b/>
      <w:bCs/>
    </w:rPr>
  </w:style>
  <w:style w:type="character" w:customStyle="1" w:styleId="CommentSubjectChar">
    <w:name w:val="Comment Subject Char"/>
    <w:basedOn w:val="CommentTextChar"/>
    <w:link w:val="CommentSubject"/>
    <w:uiPriority w:val="99"/>
    <w:semiHidden/>
    <w:rsid w:val="0039071B"/>
    <w:rPr>
      <w:rFonts w:ascii="Aptos" w:hAnsi="Aptos" w:cs="Arial"/>
      <w:b/>
      <w:bCs/>
      <w:sz w:val="20"/>
      <w:szCs w:val="20"/>
    </w:rPr>
  </w:style>
  <w:style w:type="character" w:customStyle="1" w:styleId="Heading3Char">
    <w:name w:val="Heading 3 Char"/>
    <w:basedOn w:val="DefaultParagraphFont"/>
    <w:link w:val="Heading3"/>
    <w:uiPriority w:val="9"/>
    <w:rsid w:val="0039071B"/>
    <w:rPr>
      <w:rFonts w:ascii="Aptos" w:eastAsiaTheme="majorEastAsia" w:hAnsi="Aptos" w:cstheme="majorBidi"/>
      <w:b/>
      <w:i/>
      <w:szCs w:val="24"/>
    </w:rPr>
  </w:style>
  <w:style w:type="character" w:customStyle="1" w:styleId="Heading5Char">
    <w:name w:val="Heading 5 Char"/>
    <w:basedOn w:val="DefaultParagraphFont"/>
    <w:link w:val="Heading5"/>
    <w:uiPriority w:val="9"/>
    <w:rsid w:val="0039071B"/>
    <w:rPr>
      <w:rFonts w:ascii="Aptos" w:eastAsiaTheme="majorEastAsia" w:hAnsi="Aptos" w:cstheme="majorBidi"/>
      <w:b/>
      <w:i/>
    </w:rPr>
  </w:style>
  <w:style w:type="paragraph" w:styleId="Title">
    <w:name w:val="Title"/>
    <w:basedOn w:val="Normal"/>
    <w:link w:val="TitleChar"/>
    <w:uiPriority w:val="10"/>
    <w:qFormat/>
    <w:rsid w:val="0039071B"/>
    <w:pPr>
      <w:widowControl w:val="0"/>
      <w:autoSpaceDE w:val="0"/>
      <w:autoSpaceDN w:val="0"/>
      <w:spacing w:before="1" w:line="240" w:lineRule="auto"/>
      <w:ind w:left="940" w:right="937"/>
      <w:jc w:val="center"/>
    </w:pPr>
    <w:rPr>
      <w:rFonts w:ascii="Times New Roman" w:eastAsia="Times New Roman" w:hAnsi="Times New Roman" w:cs="Times New Roman"/>
      <w:sz w:val="32"/>
      <w:szCs w:val="32"/>
    </w:rPr>
  </w:style>
  <w:style w:type="character" w:customStyle="1" w:styleId="TitleChar">
    <w:name w:val="Title Char"/>
    <w:basedOn w:val="DefaultParagraphFont"/>
    <w:link w:val="Title"/>
    <w:uiPriority w:val="10"/>
    <w:rsid w:val="0039071B"/>
    <w:rPr>
      <w:rFonts w:ascii="Times New Roman" w:eastAsia="Times New Roman" w:hAnsi="Times New Roman" w:cs="Times New Roman"/>
      <w:sz w:val="32"/>
      <w:szCs w:val="32"/>
    </w:rPr>
  </w:style>
  <w:style w:type="paragraph" w:styleId="FootnoteText">
    <w:name w:val="footnote text"/>
    <w:basedOn w:val="Normal"/>
    <w:link w:val="FootnoteTextChar"/>
    <w:uiPriority w:val="99"/>
    <w:unhideWhenUsed/>
    <w:rsid w:val="0039071B"/>
    <w:pPr>
      <w:spacing w:line="240" w:lineRule="auto"/>
    </w:pPr>
    <w:rPr>
      <w:sz w:val="20"/>
      <w:szCs w:val="20"/>
    </w:rPr>
  </w:style>
  <w:style w:type="character" w:customStyle="1" w:styleId="FootnoteTextChar">
    <w:name w:val="Footnote Text Char"/>
    <w:basedOn w:val="DefaultParagraphFont"/>
    <w:link w:val="FootnoteText"/>
    <w:uiPriority w:val="99"/>
    <w:rsid w:val="0039071B"/>
    <w:rPr>
      <w:rFonts w:ascii="Aptos" w:hAnsi="Aptos" w:cs="Arial"/>
      <w:sz w:val="20"/>
      <w:szCs w:val="20"/>
    </w:rPr>
  </w:style>
  <w:style w:type="character" w:styleId="FootnoteReference">
    <w:name w:val="footnote reference"/>
    <w:basedOn w:val="DefaultParagraphFont"/>
    <w:uiPriority w:val="99"/>
    <w:semiHidden/>
    <w:unhideWhenUsed/>
    <w:rsid w:val="0039071B"/>
    <w:rPr>
      <w:vertAlign w:val="superscript"/>
    </w:rPr>
  </w:style>
  <w:style w:type="character" w:styleId="Emphasis">
    <w:name w:val="Emphasis"/>
    <w:basedOn w:val="DefaultParagraphFont"/>
    <w:uiPriority w:val="20"/>
    <w:qFormat/>
    <w:rsid w:val="0039071B"/>
    <w:rPr>
      <w:rFonts w:ascii="Aptos" w:hAnsi="Aptos"/>
      <w:i/>
      <w:iCs/>
      <w:sz w:val="22"/>
    </w:rPr>
  </w:style>
  <w:style w:type="character" w:styleId="Strong">
    <w:name w:val="Strong"/>
    <w:basedOn w:val="DefaultParagraphFont"/>
    <w:uiPriority w:val="22"/>
    <w:qFormat/>
    <w:rsid w:val="0039071B"/>
    <w:rPr>
      <w:rFonts w:ascii="Aptos" w:hAnsi="Aptos"/>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566720">
      <w:bodyDiv w:val="1"/>
      <w:marLeft w:val="0"/>
      <w:marRight w:val="0"/>
      <w:marTop w:val="0"/>
      <w:marBottom w:val="0"/>
      <w:divBdr>
        <w:top w:val="none" w:sz="0" w:space="0" w:color="auto"/>
        <w:left w:val="none" w:sz="0" w:space="0" w:color="auto"/>
        <w:bottom w:val="none" w:sz="0" w:space="0" w:color="auto"/>
        <w:right w:val="none" w:sz="0" w:space="0" w:color="auto"/>
      </w:divBdr>
      <w:divsChild>
        <w:div w:id="1468812327">
          <w:marLeft w:val="0"/>
          <w:marRight w:val="0"/>
          <w:marTop w:val="0"/>
          <w:marBottom w:val="150"/>
          <w:divBdr>
            <w:top w:val="none" w:sz="0" w:space="0" w:color="auto"/>
            <w:left w:val="none" w:sz="0" w:space="0" w:color="auto"/>
            <w:bottom w:val="none" w:sz="0" w:space="0" w:color="auto"/>
            <w:right w:val="none" w:sz="0" w:space="0" w:color="auto"/>
          </w:divBdr>
          <w:divsChild>
            <w:div w:id="533076669">
              <w:marLeft w:val="0"/>
              <w:marRight w:val="0"/>
              <w:marTop w:val="0"/>
              <w:marBottom w:val="0"/>
              <w:divBdr>
                <w:top w:val="none" w:sz="0" w:space="0" w:color="auto"/>
                <w:left w:val="none" w:sz="0" w:space="0" w:color="auto"/>
                <w:bottom w:val="none" w:sz="0" w:space="0" w:color="auto"/>
                <w:right w:val="none" w:sz="0" w:space="0" w:color="auto"/>
              </w:divBdr>
              <w:divsChild>
                <w:div w:id="744761644">
                  <w:marLeft w:val="0"/>
                  <w:marRight w:val="0"/>
                  <w:marTop w:val="0"/>
                  <w:marBottom w:val="0"/>
                  <w:divBdr>
                    <w:top w:val="none" w:sz="0" w:space="0" w:color="auto"/>
                    <w:left w:val="none" w:sz="0" w:space="0" w:color="auto"/>
                    <w:bottom w:val="none" w:sz="0" w:space="0" w:color="auto"/>
                    <w:right w:val="none" w:sz="0" w:space="0" w:color="auto"/>
                  </w:divBdr>
                  <w:divsChild>
                    <w:div w:id="1753426644">
                      <w:marLeft w:val="0"/>
                      <w:marRight w:val="0"/>
                      <w:marTop w:val="0"/>
                      <w:marBottom w:val="0"/>
                      <w:divBdr>
                        <w:top w:val="none" w:sz="0" w:space="0" w:color="auto"/>
                        <w:left w:val="none" w:sz="0" w:space="0" w:color="auto"/>
                        <w:bottom w:val="none" w:sz="0" w:space="0" w:color="auto"/>
                        <w:right w:val="none" w:sz="0" w:space="0" w:color="auto"/>
                      </w:divBdr>
                      <w:divsChild>
                        <w:div w:id="9323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885455">
      <w:bodyDiv w:val="1"/>
      <w:marLeft w:val="0"/>
      <w:marRight w:val="0"/>
      <w:marTop w:val="0"/>
      <w:marBottom w:val="0"/>
      <w:divBdr>
        <w:top w:val="none" w:sz="0" w:space="0" w:color="auto"/>
        <w:left w:val="none" w:sz="0" w:space="0" w:color="auto"/>
        <w:bottom w:val="none" w:sz="0" w:space="0" w:color="auto"/>
        <w:right w:val="none" w:sz="0" w:space="0" w:color="auto"/>
      </w:divBdr>
    </w:div>
    <w:div w:id="1279875659">
      <w:bodyDiv w:val="1"/>
      <w:marLeft w:val="0"/>
      <w:marRight w:val="0"/>
      <w:marTop w:val="0"/>
      <w:marBottom w:val="0"/>
      <w:divBdr>
        <w:top w:val="none" w:sz="0" w:space="0" w:color="auto"/>
        <w:left w:val="none" w:sz="0" w:space="0" w:color="auto"/>
        <w:bottom w:val="none" w:sz="0" w:space="0" w:color="auto"/>
        <w:right w:val="none" w:sz="0" w:space="0" w:color="auto"/>
      </w:divBdr>
    </w:div>
    <w:div w:id="1325863125">
      <w:bodyDiv w:val="1"/>
      <w:marLeft w:val="0"/>
      <w:marRight w:val="0"/>
      <w:marTop w:val="0"/>
      <w:marBottom w:val="0"/>
      <w:divBdr>
        <w:top w:val="none" w:sz="0" w:space="0" w:color="auto"/>
        <w:left w:val="none" w:sz="0" w:space="0" w:color="auto"/>
        <w:bottom w:val="none" w:sz="0" w:space="0" w:color="auto"/>
        <w:right w:val="none" w:sz="0" w:space="0" w:color="auto"/>
      </w:divBdr>
    </w:div>
    <w:div w:id="2088456105">
      <w:bodyDiv w:val="1"/>
      <w:marLeft w:val="0"/>
      <w:marRight w:val="0"/>
      <w:marTop w:val="0"/>
      <w:marBottom w:val="0"/>
      <w:divBdr>
        <w:top w:val="none" w:sz="0" w:space="0" w:color="auto"/>
        <w:left w:val="none" w:sz="0" w:space="0" w:color="auto"/>
        <w:bottom w:val="none" w:sz="0" w:space="0" w:color="auto"/>
        <w:right w:val="none" w:sz="0" w:space="0" w:color="auto"/>
      </w:divBdr>
    </w:div>
    <w:div w:id="209663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https://osf.io/dashboard" TargetMode="External" Type="http://schemas.openxmlformats.org/officeDocument/2006/relationships/hyperlink"/><Relationship Id="rId11" Target="mailto:dxhender@institution.edu" TargetMode="External" Type="http://schemas.openxmlformats.org/officeDocument/2006/relationships/hyperlink"/><Relationship Id="rId12" Target="http://dx.doi.org/10.4324/9781315775852" TargetMode="External" Type="http://schemas.openxmlformats.org/officeDocument/2006/relationships/hyperlink"/><Relationship Id="rId13" Target="http://dx.doi.org/10.1111/j.1559-1816.2002.tb00236.x" TargetMode="External" Type="http://schemas.openxmlformats.org/officeDocument/2006/relationships/hyperlink"/><Relationship Id="rId14" Target="http://dx.doi.org/10.1111/j.1559-1816.2002.tb00236.x" TargetMode="External" Type="http://schemas.openxmlformats.org/officeDocument/2006/relationships/hyperlink"/><Relationship Id="rId15" Target="https://www.apa.org/ed/precollege/about/undergraduate-major" TargetMode="External" Type="http://schemas.openxmlformats.org/officeDocument/2006/relationships/hyperlink"/><Relationship Id="rId16" Target="https://doi.org/10.5465/255848" TargetMode="External" Type="http://schemas.openxmlformats.org/officeDocument/2006/relationships/hyperlink"/><Relationship Id="rId17" Target="https://www.gjcpp.org/pdfs/BauerEtAl_Final.pdf" TargetMode="External" Type="http://schemas.openxmlformats.org/officeDocument/2006/relationships/hyperlink"/><Relationship Id="rId18" Target="https://doi.org/10.1177/0022022192232004" TargetMode="External" Type="http://schemas.openxmlformats.org/officeDocument/2006/relationships/hyperlink"/><Relationship Id="rId19" Target="http://dx.doi.org/10.1007/s10734-008-9127-3" TargetMode="External" Type="http://schemas.openxmlformats.org/officeDocument/2006/relationships/hyperlink"/><Relationship Id="rId2" Target="styles.xml" Type="http://schemas.openxmlformats.org/officeDocument/2006/relationships/styles"/><Relationship Id="rId20" Target="http://dx.doi.org/10.1007/s10464-010-9340-y" TargetMode="External" Type="http://schemas.openxmlformats.org/officeDocument/2006/relationships/hyperlink"/><Relationship Id="rId21" Target="https://doi.org/10.1037/a0019093" TargetMode="External" Type="http://schemas.openxmlformats.org/officeDocument/2006/relationships/hyperlink"/><Relationship Id="rId22" Target="https://eric.ed.gov/?id=EJ625613" TargetMode="External" Type="http://schemas.openxmlformats.org/officeDocument/2006/relationships/hyperlink"/><Relationship Id="rId23" Target="https://www.gjcpp.org/pdfs/4-CattaneoEtAl-Final.pdf" TargetMode="External" Type="http://schemas.openxmlformats.org/officeDocument/2006/relationships/hyperlink"/><Relationship Id="rId24" Target="http://www.scra27.com/publications/tcp/tcp-past-issues/tcpfall2015/special-feature/" TargetMode="External" Type="http://schemas.openxmlformats.org/officeDocument/2006/relationships/hyperlink"/><Relationship Id="rId25" Target="http://dx.doi.org/10.3200/CHNG.40.1.38-41" TargetMode="External" Type="http://schemas.openxmlformats.org/officeDocument/2006/relationships/hyperlink"/><Relationship Id="rId26" Target="http://dx.doi.org/10.3200/CHNG.40.1.38-41" TargetMode="External" Type="http://schemas.openxmlformats.org/officeDocument/2006/relationships/hyperlink"/><Relationship Id="rId27" Target="http://dx.doi.org/10.1353/csd.2008.0017" TargetMode="External" Type="http://schemas.openxmlformats.org/officeDocument/2006/relationships/hyperlink"/><Relationship Id="rId28" Target="https://files.eric.ed.gov/fulltext/EJ781920.pdf" TargetMode="External" Type="http://schemas.openxmlformats.org/officeDocument/2006/relationships/hyperlink"/><Relationship Id="rId29" Target="https://doi.org/10.5175/JSWE.2011.200900035" TargetMode="External" Type="http://schemas.openxmlformats.org/officeDocument/2006/relationships/hyperlink"/><Relationship Id="rId3" Target="settings.xml" Type="http://schemas.openxmlformats.org/officeDocument/2006/relationships/settings"/><Relationship Id="rId30" Target="http://dx.doi.org/10.24839/2325-7342.JN22.4.254" TargetMode="External" Type="http://schemas.openxmlformats.org/officeDocument/2006/relationships/hyperlink"/><Relationship Id="rId31" Target="http://dx.doi.org/10.24839/2325-7342.JN22.4.254" TargetMode="External" Type="http://schemas.openxmlformats.org/officeDocument/2006/relationships/hyperlink"/><Relationship Id="rId32" Target="http://dx.doi.org/10.1002/tea.21203" TargetMode="External" Type="http://schemas.openxmlformats.org/officeDocument/2006/relationships/hyperlink"/><Relationship Id="rId33" Target="http://dx.doi.org/10.1002/tea.21203" TargetMode="External" Type="http://schemas.openxmlformats.org/officeDocument/2006/relationships/hyperlink"/><Relationship Id="rId34" Target="https://cew.georgetown.edu/cew-reports/african-american-majors/" TargetMode="External" Type="http://schemas.openxmlformats.org/officeDocument/2006/relationships/hyperlink"/><Relationship Id="rId35" Target="http://dx.doi.org/10.1187/cbe.13-02-0021" TargetMode="External" Type="http://schemas.openxmlformats.org/officeDocument/2006/relationships/hyperlink"/><Relationship Id="rId36" Target="http://dx.doi.org/10.1080/10665684.2014.959331" TargetMode="External" Type="http://schemas.openxmlformats.org/officeDocument/2006/relationships/hyperlink"/><Relationship Id="rId37" Target="http://dx.doi.org/10.1080/10665684.2014.959331" TargetMode="External" Type="http://schemas.openxmlformats.org/officeDocument/2006/relationships/hyperlink"/><Relationship Id="rId38" Target="http://dx.doi.org/10.3102/0002831212447977" TargetMode="External" Type="http://schemas.openxmlformats.org/officeDocument/2006/relationships/hyperlink"/><Relationship Id="rId39" Target="http://dx.doi.org/10.1016/j.earlhumdev.2018.04.014" TargetMode="External" Type="http://schemas.openxmlformats.org/officeDocument/2006/relationships/hyperlink"/><Relationship Id="rId4" Target="webSettings.xml" Type="http://schemas.openxmlformats.org/officeDocument/2006/relationships/webSettings"/><Relationship Id="rId40" Target="http://dx.doi.org/10.1016/j.earlhumdev.2018.04.014" TargetMode="External" Type="http://schemas.openxmlformats.org/officeDocument/2006/relationships/hyperlink"/><Relationship Id="rId41" Target="http://dx.doi.org/10.1177/0098628316679958" TargetMode="External" Type="http://schemas.openxmlformats.org/officeDocument/2006/relationships/hyperlink"/><Relationship Id="rId42" Target="http://www.jstor.org/stable/24572850" TargetMode="External" Type="http://schemas.openxmlformats.org/officeDocument/2006/relationships/hyperlink"/><Relationship Id="rId43" Target="https://doi.org/10.1037/h0078860" TargetMode="External" Type="http://schemas.openxmlformats.org/officeDocument/2006/relationships/hyperlink"/><Relationship Id="rId44" Target="http://dx.doi.org/10.1002/ajcp.12079" TargetMode="External" Type="http://schemas.openxmlformats.org/officeDocument/2006/relationships/hyperlink"/><Relationship Id="rId45" Target="http://dx.doi.org/10.1007/s10964-009-9430-z" TargetMode="External" Type="http://schemas.openxmlformats.org/officeDocument/2006/relationships/hyperlink"/><Relationship Id="rId46" Target="https://www.gjcpp.org/pdfs/Lichty,%20Palamaro-Munsell,%20_%20Wallin-Ruschman-Editor_s%20Note.pdf" TargetMode="External" Type="http://schemas.openxmlformats.org/officeDocument/2006/relationships/hyperlink"/><Relationship Id="rId47" Target="http://dx.doi.org/10.1037/a0023673" TargetMode="External" Type="http://schemas.openxmlformats.org/officeDocument/2006/relationships/hyperlink"/><Relationship Id="rId48" Target="http://dx.doi.org/10.1080/10852352.2013.818486" TargetMode="External" Type="http://schemas.openxmlformats.org/officeDocument/2006/relationships/hyperlink"/><Relationship Id="rId49" Target="http://dx.doi.org/10.1080/10852352.2013.818486" TargetMode="External" Type="http://schemas.openxmlformats.org/officeDocument/2006/relationships/hyperlink"/><Relationship Id="rId5" Target="footnotes.xml" Type="http://schemas.openxmlformats.org/officeDocument/2006/relationships/footnotes"/><Relationship Id="rId50" Target="https://doi.org/10.1111/j.1559-1816.1989.tb00060.x" TargetMode="External" Type="http://schemas.openxmlformats.org/officeDocument/2006/relationships/hyperlink"/><Relationship Id="rId51" Target="http://dx.doi.org/10.1086/693954" TargetMode="External" Type="http://schemas.openxmlformats.org/officeDocument/2006/relationships/hyperlink"/><Relationship Id="rId52" Target="http://dx.doi.org/10.1086/693954" TargetMode="External" Type="http://schemas.openxmlformats.org/officeDocument/2006/relationships/hyperlink"/><Relationship Id="rId53" Target="https://doi.org/10.1007/978-94-007-3974-1_3" TargetMode="External" Type="http://schemas.openxmlformats.org/officeDocument/2006/relationships/hyperlink"/><Relationship Id="rId54" Target="http://dx.doi.org/10.1016/0022-1031%2868%2990046-2" TargetMode="External" Type="http://schemas.openxmlformats.org/officeDocument/2006/relationships/hyperlink"/><Relationship Id="rId55" Target="http://dx.doi.org/10.1016/0022-1031%2868%2990046-2" TargetMode="External" Type="http://schemas.openxmlformats.org/officeDocument/2006/relationships/hyperlink"/><Relationship Id="rId56" Target="http://dx.doi.org/10.1080/10665680701228797" TargetMode="External" Type="http://schemas.openxmlformats.org/officeDocument/2006/relationships/hyperlink"/><Relationship Id="rId57" Target="http://dx.doi.org/10.1080/10665680701228797" TargetMode="External" Type="http://schemas.openxmlformats.org/officeDocument/2006/relationships/hyperlink"/><Relationship Id="rId58" Target="http://dx.doi.org/10.31274/jctp-180810-22" TargetMode="External" Type="http://schemas.openxmlformats.org/officeDocument/2006/relationships/hyperlink"/><Relationship Id="rId59" Target="http://dx.doi.org/10.31274/jctp-180810-22" TargetMode="External" Type="http://schemas.openxmlformats.org/officeDocument/2006/relationships/hyperlink"/><Relationship Id="rId6" Target="endnotes.xml" Type="http://schemas.openxmlformats.org/officeDocument/2006/relationships/endnotes"/><Relationship Id="rId60" Target="https://doi.org/10.1057/978-1-137-55312-6_13" TargetMode="External" Type="http://schemas.openxmlformats.org/officeDocument/2006/relationships/hyperlink"/><Relationship Id="rId61" Target="https://quod.lib.umich.edu/cache/3/2/3/3239521.0009.102/3239521.0009.102.pdf" TargetMode="External" Type="http://schemas.openxmlformats.org/officeDocument/2006/relationships/hyperlink"/><Relationship Id="rId62" Target="http://dx.doi.org/10.1177/1088868313501745" TargetMode="External" Type="http://schemas.openxmlformats.org/officeDocument/2006/relationships/hyperlink"/><Relationship Id="rId63" Target="https://doi.org/10.1080/10437797.1999.10778980" TargetMode="External" Type="http://schemas.openxmlformats.org/officeDocument/2006/relationships/hyperlink"/><Relationship Id="rId64" Target="https://files.eric.ed.gov/fulltext/EJ1116299.pdf" TargetMode="External" Type="http://schemas.openxmlformats.org/officeDocument/2006/relationships/hyperlink"/><Relationship Id="rId65" Target="https://doi.org/10.1080/10852352.2013.757978" TargetMode="External" Type="http://schemas.openxmlformats.org/officeDocument/2006/relationships/hyperlink"/><Relationship Id="rId66" Target="http://www.isetl.org/ijtlhe/pdf/IJTLHE1315.pdf" TargetMode="External" Type="http://schemas.openxmlformats.org/officeDocument/2006/relationships/hyperlink"/><Relationship Id="rId67" Target="http://www.scra27.org/what-we-do/what-community-psychology/" TargetMode="External" Type="http://schemas.openxmlformats.org/officeDocument/2006/relationships/hyperlink"/><Relationship Id="rId68" Target="https://doi.org/10.4324/9780203885185" TargetMode="External" Type="http://schemas.openxmlformats.org/officeDocument/2006/relationships/hyperlink"/><Relationship Id="rId69" Target="https://files.eric.ed.gov/fulltext/EJ977356.pdf" TargetMode="External" Type="http://schemas.openxmlformats.org/officeDocument/2006/relationships/hyperlink"/><Relationship Id="rId7" Target="https://orcid.org/0000-0001-6905-1832" TargetMode="External" Type="http://schemas.openxmlformats.org/officeDocument/2006/relationships/hyperlink"/><Relationship Id="rId70" Target="http://dx.doi.org/10.1080/02615479.2015.1037828" TargetMode="External" Type="http://schemas.openxmlformats.org/officeDocument/2006/relationships/hyperlink"/><Relationship Id="rId71" Target="http://dx.doi.org/10.1080/02615479.2015.1037828" TargetMode="External" Type="http://schemas.openxmlformats.org/officeDocument/2006/relationships/hyperlink"/><Relationship Id="rId72" Target="http://dx.doi.org/10.1177/1368430211413619" TargetMode="External" Type="http://schemas.openxmlformats.org/officeDocument/2006/relationships/hyperlink"/><Relationship Id="rId73" Target="http://dx.doi.org/10.1177/1368430211413619" TargetMode="External" Type="http://schemas.openxmlformats.org/officeDocument/2006/relationships/hyperlink"/><Relationship Id="rId74" Target="https://doi.org/10.1007/s10464-011-9478-2" TargetMode="External" Type="http://schemas.openxmlformats.org/officeDocument/2006/relationships/hyperlink"/><Relationship Id="rId75" Target="https://doi.org/10.1177/1746197914520655" TargetMode="External" Type="http://schemas.openxmlformats.org/officeDocument/2006/relationships/hyperlink"/><Relationship Id="rId76" Target="http://dx.doi.org/10.1037/0033-2909.134.4.504" TargetMode="External" Type="http://schemas.openxmlformats.org/officeDocument/2006/relationships/hyperlink"/><Relationship Id="rId77" Target="http://dx.doi.org/10.1037/0033-2909.134.4.504" TargetMode="External" Type="http://schemas.openxmlformats.org/officeDocument/2006/relationships/hyperlink"/><Relationship Id="rId78" Target="http://dx.doi.org/10.1002/jcop.20178" TargetMode="External" Type="http://schemas.openxmlformats.org/officeDocument/2006/relationships/hyperlink"/><Relationship Id="rId79" Target="http://dx.doi.org/10.1080/10852352.2013.757990" TargetMode="External" Type="http://schemas.openxmlformats.org/officeDocument/2006/relationships/hyperlink"/><Relationship Id="rId8" Target="media/image2.gif" Type="http://schemas.openxmlformats.org/officeDocument/2006/relationships/image"/><Relationship Id="rId80" Target="http://dx.doi.org/10.1080/10852352.2013.757990" TargetMode="External" Type="http://schemas.openxmlformats.org/officeDocument/2006/relationships/hyperlink"/><Relationship Id="rId81" Target="header1.xml" Type="http://schemas.openxmlformats.org/officeDocument/2006/relationships/header"/><Relationship Id="rId82" Target="fontTable.xml" Type="http://schemas.openxmlformats.org/officeDocument/2006/relationships/fontTable"/><Relationship Id="rId83" Target="theme/theme1.xml" Type="http://schemas.openxmlformats.org/officeDocument/2006/relationships/theme"/><Relationship Id="rId9" Target="https://orcid.org/0000-0002-9773-4208" TargetMode="External" Type="http://schemas.openxmlformats.org/officeDocument/2006/relationships/hyperlink"/></Relationships>
</file>

<file path=word/_rels/numbering.xml.rels><?xml version="1.0" encoding="UTF-8" standalone="no"?><Relationships xmlns="http://schemas.openxmlformats.org/package/2006/relationships"><Relationship Id="rId1" Target="media/image1.png" Type="http://schemas.openxmlformats.org/officeDocument/2006/relationships/image"/></Relationships>
</file>

<file path=word/_rels/settings.xml.rels><?xml version="1.0" encoding="UTF-8" standalone="no"?><Relationships xmlns="http://schemas.openxmlformats.org/package/2006/relationships"><Relationship Id="rId1" Target="file:///C:/Users/cyb/OneDrive%20-%20American%20Psychological%20Assn/Documents/Custom%20Office%20Templates/APA%20Style%207%20paper%20template.dotx" TargetMode="External" Type="http://schemas.openxmlformats.org/officeDocument/2006/relationships/attachedTemplat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31</Pages>
  <Words>9082</Words>
  <Characters>51769</Characters>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