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01914074"/>
    <w:bookmarkStart w:id="1" w:name="_Toc416260885"/>
    <w:bookmarkStart w:id="2" w:name="_Toc98394872"/>
    <w:p w:rsidR="00EB0AD7" w:rsidRPr="00DA7709" w:rsidRDefault="00AF28F1" w:rsidP="00AC6E16">
      <w:pPr>
        <w:sectPr w:rsidR="00EB0AD7" w:rsidRPr="00DA7709" w:rsidSect="005E46E9">
          <w:pgSz w:w="11907" w:h="16840" w:code="9"/>
          <w:pgMar w:top="1418" w:right="1701" w:bottom="1134" w:left="1418" w:header="709" w:footer="556" w:gutter="0"/>
          <w:cols w:space="708"/>
          <w:docGrid w:linePitch="360"/>
        </w:sectPr>
      </w:pPr>
      <w:r>
        <w:rPr>
          <w:noProof/>
          <w:lang w:eastAsia="en-AU"/>
        </w:rPr>
        <mc:AlternateContent>
          <mc:Choice Requires="wps">
            <w:drawing>
              <wp:anchor distT="0" distB="0" distL="114300" distR="114300" simplePos="0" relativeHeight="251760640" behindDoc="0" locked="0" layoutInCell="1" allowOverlap="1" wp14:anchorId="768671DF" wp14:editId="1ECB5FCA">
                <wp:simplePos x="0" y="0"/>
                <wp:positionH relativeFrom="column">
                  <wp:posOffset>-595630</wp:posOffset>
                </wp:positionH>
                <wp:positionV relativeFrom="paragraph">
                  <wp:posOffset>1576070</wp:posOffset>
                </wp:positionV>
                <wp:extent cx="5067300" cy="29337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0" cy="293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25F" w:rsidRPr="00704F86" w:rsidRDefault="0037725F" w:rsidP="00621FAA">
                            <w:pPr>
                              <w:pStyle w:val="Titlepage"/>
                              <w:spacing w:after="0"/>
                              <w:ind w:left="0"/>
                              <w:rPr>
                                <w:b/>
                                <w:color w:val="0081C6"/>
                              </w:rPr>
                            </w:pPr>
                            <w:r>
                              <w:rPr>
                                <w:b/>
                                <w:color w:val="0081C6"/>
                              </w:rPr>
                              <w:t xml:space="preserve">The Australian literacy </w:t>
                            </w:r>
                            <w:r>
                              <w:rPr>
                                <w:b/>
                                <w:color w:val="0081C6"/>
                              </w:rPr>
                              <w:br/>
                              <w:t xml:space="preserve">and numeracy workforce: </w:t>
                            </w:r>
                            <w:r>
                              <w:rPr>
                                <w:b/>
                                <w:color w:val="0081C6"/>
                              </w:rPr>
                              <w:br/>
                              <w:t>a literature review</w:t>
                            </w:r>
                          </w:p>
                          <w:p w:rsidR="0037725F" w:rsidRDefault="0037725F" w:rsidP="00ED0D45">
                            <w:pPr>
                              <w:pStyle w:val="Titlepage"/>
                              <w:spacing w:before="720" w:after="0"/>
                              <w:ind w:left="0"/>
                              <w:rPr>
                                <w:color w:val="595959" w:themeColor="text1" w:themeTint="A6"/>
                                <w:sz w:val="27"/>
                                <w:szCs w:val="27"/>
                              </w:rPr>
                            </w:pPr>
                            <w:r>
                              <w:rPr>
                                <w:b/>
                                <w:color w:val="595959" w:themeColor="text1" w:themeTint="A6"/>
                                <w:sz w:val="27"/>
                                <w:szCs w:val="27"/>
                              </w:rPr>
                              <w:t>Jo</w:t>
                            </w:r>
                            <w:r w:rsidR="00EF2700">
                              <w:rPr>
                                <w:b/>
                                <w:color w:val="595959" w:themeColor="text1" w:themeTint="A6"/>
                                <w:sz w:val="27"/>
                                <w:szCs w:val="27"/>
                              </w:rPr>
                              <w:t>anne</w:t>
                            </w:r>
                            <w:r>
                              <w:rPr>
                                <w:b/>
                                <w:color w:val="595959" w:themeColor="text1" w:themeTint="A6"/>
                                <w:sz w:val="27"/>
                                <w:szCs w:val="27"/>
                              </w:rPr>
                              <w:t xml:space="preserve"> Medlin</w:t>
                            </w:r>
                            <w:r>
                              <w:rPr>
                                <w:b/>
                                <w:color w:val="595959" w:themeColor="text1" w:themeTint="A6"/>
                                <w:sz w:val="27"/>
                                <w:szCs w:val="27"/>
                              </w:rPr>
                              <w:br/>
                            </w:r>
                            <w:r>
                              <w:rPr>
                                <w:color w:val="595959" w:themeColor="text1" w:themeTint="A6"/>
                                <w:sz w:val="27"/>
                                <w:szCs w:val="27"/>
                              </w:rPr>
                              <w:t>Foundation Skills Literature Review Project</w:t>
                            </w:r>
                            <w:r>
                              <w:rPr>
                                <w:color w:val="595959" w:themeColor="text1" w:themeTint="A6"/>
                                <w:sz w:val="27"/>
                                <w:szCs w:val="27"/>
                              </w:rPr>
                              <w:br/>
                              <w:t>Scholarship recipient</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6.9pt;margin-top:124.1pt;width:399pt;height:23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" filled="f" stroked="f" strokeweight=".5pt">
                <v:path arrowok="t"/>
                <v:textbox inset=",,,0">
                  <w:txbxContent>
                    <w:p w:rsidR="0037725F" w:rsidRPr="00704F86" w:rsidRDefault="0037725F" w:rsidP="00621FAA">
                      <w:pPr>
                        <w:pStyle w:val="Titlepage"/>
                        <w:spacing w:after="0"/>
                        <w:ind w:left="0"/>
                        <w:rPr>
                          <w:b/>
                          <w:color w:val="0081C6"/>
                        </w:rPr>
                      </w:pPr>
                      <w:r>
                        <w:rPr>
                          <w:b/>
                          <w:color w:val="0081C6"/>
                        </w:rPr>
                        <w:t xml:space="preserve">The Australian literacy </w:t>
                      </w:r>
                      <w:r>
                        <w:rPr>
                          <w:b/>
                          <w:color w:val="0081C6"/>
                        </w:rPr>
                        <w:br/>
                        <w:t xml:space="preserve">and numeracy workforce: </w:t>
                      </w:r>
                      <w:r>
                        <w:rPr>
                          <w:b/>
                          <w:color w:val="0081C6"/>
                        </w:rPr>
                        <w:br/>
                        <w:t>a literature review</w:t>
                      </w:r>
                    </w:p>
                    <w:p w:rsidR="0037725F" w:rsidRDefault="0037725F" w:rsidP="00ED0D45">
                      <w:pPr>
                        <w:pStyle w:val="Titlepage"/>
                        <w:spacing w:before="720" w:after="0"/>
                        <w:ind w:left="0"/>
                        <w:rPr>
                          <w:color w:val="595959" w:themeColor="text1" w:themeTint="A6"/>
                          <w:sz w:val="27"/>
                          <w:szCs w:val="27"/>
                        </w:rPr>
                      </w:pPr>
                      <w:r>
                        <w:rPr>
                          <w:b/>
                          <w:color w:val="595959" w:themeColor="text1" w:themeTint="A6"/>
                          <w:sz w:val="27"/>
                          <w:szCs w:val="27"/>
                        </w:rPr>
                        <w:t>Jo</w:t>
                      </w:r>
                      <w:r w:rsidR="00EF2700">
                        <w:rPr>
                          <w:b/>
                          <w:color w:val="595959" w:themeColor="text1" w:themeTint="A6"/>
                          <w:sz w:val="27"/>
                          <w:szCs w:val="27"/>
                        </w:rPr>
                        <w:t>anne</w:t>
                      </w:r>
                      <w:r>
                        <w:rPr>
                          <w:b/>
                          <w:color w:val="595959" w:themeColor="text1" w:themeTint="A6"/>
                          <w:sz w:val="27"/>
                          <w:szCs w:val="27"/>
                        </w:rPr>
                        <w:t xml:space="preserve"> Medlin</w:t>
                      </w:r>
                      <w:r>
                        <w:rPr>
                          <w:b/>
                          <w:color w:val="595959" w:themeColor="text1" w:themeTint="A6"/>
                          <w:sz w:val="27"/>
                          <w:szCs w:val="27"/>
                        </w:rPr>
                        <w:br/>
                      </w:r>
                      <w:r>
                        <w:rPr>
                          <w:color w:val="595959" w:themeColor="text1" w:themeTint="A6"/>
                          <w:sz w:val="27"/>
                          <w:szCs w:val="27"/>
                        </w:rPr>
                        <w:t>Foundation Skills Literature Review Project</w:t>
                      </w:r>
                      <w:r>
                        <w:rPr>
                          <w:color w:val="595959" w:themeColor="text1" w:themeTint="A6"/>
                          <w:sz w:val="27"/>
                          <w:szCs w:val="27"/>
                        </w:rPr>
                        <w:br/>
                        <w:t>Scholarship recipient</w:t>
                      </w:r>
                    </w:p>
                  </w:txbxContent>
                </v:textbox>
              </v:shape>
            </w:pict>
          </mc:Fallback>
        </mc:AlternateContent>
      </w:r>
      <w:r w:rsidR="009F0A4B">
        <w:rPr>
          <w:noProof/>
          <w:lang w:eastAsia="en-AU"/>
        </w:rPr>
        <mc:AlternateContent>
          <mc:Choice Requires="wps">
            <w:drawing>
              <wp:anchor distT="4294967295" distB="4294967295" distL="114300" distR="114300" simplePos="0" relativeHeight="251762688" behindDoc="0" locked="0" layoutInCell="1" allowOverlap="1" wp14:anchorId="3F65D06F" wp14:editId="3FFA0B0B">
                <wp:simplePos x="0" y="0"/>
                <wp:positionH relativeFrom="column">
                  <wp:posOffset>-506095</wp:posOffset>
                </wp:positionH>
                <wp:positionV relativeFrom="paragraph">
                  <wp:posOffset>3057525</wp:posOffset>
                </wp:positionV>
                <wp:extent cx="21158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5820"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85pt,240.75pt" to="126.75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" strokecolor="black [3213]" strokeweight="1pt">
                <o:lock v:ext="edit" shapetype="f"/>
              </v:line>
            </w:pict>
          </mc:Fallback>
        </mc:AlternateContent>
      </w:r>
      <w:r w:rsidR="00C27585">
        <w:rPr>
          <w:noProof/>
          <w:lang w:eastAsia="en-AU"/>
        </w:rPr>
        <mc:AlternateContent>
          <mc:Choice Requires="wps">
            <w:drawing>
              <wp:anchor distT="0" distB="0" distL="114300" distR="114300" simplePos="0" relativeHeight="251756544" behindDoc="0" locked="0" layoutInCell="1" allowOverlap="1" wp14:anchorId="1BCC3EB6" wp14:editId="058E9ACC">
                <wp:simplePos x="0" y="0"/>
                <wp:positionH relativeFrom="column">
                  <wp:posOffset>4662170</wp:posOffset>
                </wp:positionH>
                <wp:positionV relativeFrom="paragraph">
                  <wp:posOffset>-633730</wp:posOffset>
                </wp:positionV>
                <wp:extent cx="1743075" cy="279400"/>
                <wp:effectExtent l="0" t="0" r="9525" b="63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25F" w:rsidRPr="0088361A" w:rsidRDefault="0037725F" w:rsidP="00704F86">
                            <w:pPr>
                              <w:jc w:val="center"/>
                              <w:rPr>
                                <w:rFonts w:ascii="Arial Bold" w:hAnsi="Arial Bold" w:cs="Arial"/>
                                <w:b/>
                                <w:color w:val="FFFFFF" w:themeColor="background1"/>
                                <w:sz w:val="24"/>
                                <w:szCs w:val="24"/>
                              </w:rPr>
                            </w:pPr>
                            <w:r>
                              <w:rPr>
                                <w:rFonts w:ascii="Arial Bold" w:hAnsi="Arial Bold" w:cs="Arial"/>
                                <w:b/>
                                <w:caps/>
                                <w:color w:val="FFFFFF" w:themeColor="background1"/>
                                <w:sz w:val="24"/>
                                <w:szCs w:val="24"/>
                              </w:rPr>
                              <w:t>occasional paper</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27" type="#_x0000_t202" style="position:absolute;margin-left:367.1pt;margin-top:-49.9pt;width:137.25pt;height:2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" filled="f" stroked="f" strokeweight=".5pt">
                <v:path arrowok="t"/>
                <v:textbox inset="1mm,0,1mm,0">
                  <w:txbxContent>
                    <w:p w:rsidR="0037725F" w:rsidRPr="0088361A" w:rsidRDefault="0037725F" w:rsidP="00704F86">
                      <w:pPr>
                        <w:jc w:val="center"/>
                        <w:rPr>
                          <w:rFonts w:ascii="Arial Bold" w:hAnsi="Arial Bold" w:cs="Arial"/>
                          <w:b/>
                          <w:color w:val="FFFFFF" w:themeColor="background1"/>
                          <w:sz w:val="24"/>
                          <w:szCs w:val="24"/>
                        </w:rPr>
                      </w:pPr>
                      <w:r>
                        <w:rPr>
                          <w:rFonts w:ascii="Arial Bold" w:hAnsi="Arial Bold" w:cs="Arial"/>
                          <w:b/>
                          <w:caps/>
                          <w:color w:val="FFFFFF" w:themeColor="background1"/>
                          <w:sz w:val="24"/>
                          <w:szCs w:val="24"/>
                        </w:rPr>
                        <w:t>occasional paper</w:t>
                      </w:r>
                    </w:p>
                  </w:txbxContent>
                </v:textbox>
              </v:shape>
            </w:pict>
          </mc:Fallback>
        </mc:AlternateContent>
      </w:r>
      <w:r w:rsidR="00970694">
        <w:rPr>
          <w:noProof/>
          <w:lang w:eastAsia="en-AU"/>
        </w:rPr>
        <w:drawing>
          <wp:anchor distT="0" distB="0" distL="114300" distR="114300" simplePos="0" relativeHeight="251979776" behindDoc="1" locked="0" layoutInCell="1" allowOverlap="1" wp14:anchorId="224F73A2" wp14:editId="5D13E00C">
            <wp:simplePos x="0" y="0"/>
            <wp:positionH relativeFrom="column">
              <wp:posOffset>-909955</wp:posOffset>
            </wp:positionH>
            <wp:positionV relativeFrom="paragraph">
              <wp:posOffset>-757555</wp:posOffset>
            </wp:positionV>
            <wp:extent cx="7572375" cy="1447280"/>
            <wp:effectExtent l="0" t="0" r="0" b="635"/>
            <wp:wrapNone/>
            <wp:docPr id="22" name="Picture 22" descr="P:\PublicationComponents\logos\NCVER LOGOS\ColourBar\ColourTabsForResearchReports\ColourBar_Purple_RightTab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ublicationComponents\logos\NCVER LOGOS\ColourBar\ColourTabsForResearchReports\ColourBar_Purple_RightTab_Resiz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447280"/>
                    </a:xfrm>
                    <a:prstGeom prst="rect">
                      <a:avLst/>
                    </a:prstGeom>
                    <a:noFill/>
                    <a:ln>
                      <a:noFill/>
                    </a:ln>
                  </pic:spPr>
                </pic:pic>
              </a:graphicData>
            </a:graphic>
          </wp:anchor>
        </w:drawing>
      </w:r>
      <w:r w:rsidR="006475E3">
        <w:rPr>
          <w:noProof/>
          <w:lang w:eastAsia="en-AU"/>
        </w:rPr>
        <w:drawing>
          <wp:anchor distT="0" distB="0" distL="114300" distR="114300" simplePos="0" relativeHeight="251797504" behindDoc="0" locked="0" layoutInCell="1" allowOverlap="1">
            <wp:simplePos x="0" y="0"/>
            <wp:positionH relativeFrom="column">
              <wp:posOffset>4613576</wp:posOffset>
            </wp:positionH>
            <wp:positionV relativeFrom="paragraph">
              <wp:posOffset>9396095</wp:posOffset>
            </wp:positionV>
            <wp:extent cx="1791669" cy="247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VER_Tagline.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1669" cy="247650"/>
                    </a:xfrm>
                    <a:prstGeom prst="rect">
                      <a:avLst/>
                    </a:prstGeom>
                  </pic:spPr>
                </pic:pic>
              </a:graphicData>
            </a:graphic>
          </wp:anchor>
        </w:drawing>
      </w:r>
      <w:bookmarkEnd w:id="0"/>
      <w:bookmarkEnd w:id="1"/>
      <w:r w:rsidR="00D056F3">
        <w:br w:type="page"/>
      </w:r>
      <w:bookmarkStart w:id="3" w:name="_Toc495748330"/>
      <w:bookmarkStart w:id="4" w:name="_Toc495810630"/>
      <w:bookmarkStart w:id="5" w:name="_Toc6031787"/>
      <w:bookmarkStart w:id="6" w:name="_Toc6031844"/>
      <w:bookmarkEnd w:id="2"/>
    </w:p>
    <w:p w:rsidR="007C667B" w:rsidRPr="005C2FCF" w:rsidRDefault="007C667B" w:rsidP="007C667B">
      <w:pPr>
        <w:pStyle w:val="Heading3"/>
        <w:ind w:right="-1"/>
      </w:pPr>
      <w:bookmarkStart w:id="7" w:name="_Toc98394880"/>
      <w:bookmarkStart w:id="8" w:name="_Toc296423683"/>
      <w:bookmarkStart w:id="9" w:name="_Toc296497514"/>
      <w:r w:rsidRPr="005C2FCF">
        <w:lastRenderedPageBreak/>
        <w:t>Publisher’s note</w:t>
      </w:r>
    </w:p>
    <w:p w:rsidR="007C667B" w:rsidRPr="007C667B" w:rsidRDefault="007C667B" w:rsidP="007C667B">
      <w:pPr>
        <w:pStyle w:val="Imprint"/>
      </w:pPr>
      <w:r w:rsidRPr="007C667B">
        <w:t xml:space="preserve">The views and opinions expressed in this document are those of the author/project team and do not necessarily reflect the views of the Australian Government, </w:t>
      </w:r>
      <w:r w:rsidR="00CE248F">
        <w:t xml:space="preserve">or </w:t>
      </w:r>
      <w:r w:rsidRPr="007C667B">
        <w:t xml:space="preserve">state and territory </w:t>
      </w:r>
      <w:r w:rsidR="00AF28F1">
        <w:t>governments or NCVER.</w:t>
      </w:r>
      <w:r>
        <w:t xml:space="preserve"> </w:t>
      </w:r>
      <w:r w:rsidRPr="007C667B">
        <w:t>Any interpretation of data is the responsibility of the author/project team.</w:t>
      </w:r>
    </w:p>
    <w:p w:rsidR="00042BAB" w:rsidRPr="00933D6A" w:rsidRDefault="00CE248F" w:rsidP="00042BAB">
      <w:pPr>
        <w:pStyle w:val="Imprint"/>
        <w:ind w:right="-1"/>
      </w:pPr>
      <w:r>
        <w:t xml:space="preserve">To find other material of interest, search </w:t>
      </w:r>
      <w:proofErr w:type="spellStart"/>
      <w:r>
        <w:t>VOCEDplus</w:t>
      </w:r>
      <w:proofErr w:type="spellEnd"/>
      <w:r>
        <w:t xml:space="preserve"> (the UNESCO/NCVER international database </w:t>
      </w:r>
      <w:r w:rsidRPr="00CE248F">
        <w:t>&lt;</w:t>
      </w:r>
      <w:hyperlink r:id="rId11" w:history="1">
        <w:r w:rsidRPr="00CE248F">
          <w:t>http://www.voced.edu.au</w:t>
        </w:r>
      </w:hyperlink>
      <w:r w:rsidRPr="00CE248F">
        <w:t>&gt;)</w:t>
      </w:r>
      <w:r>
        <w:t xml:space="preserve"> using the following keywords: </w:t>
      </w:r>
      <w:r w:rsidR="00042BAB">
        <w:t>providers of education and training; practitioners; adult educators; l</w:t>
      </w:r>
      <w:r w:rsidR="00042BAB" w:rsidRPr="00933D6A">
        <w:t>iteracy</w:t>
      </w:r>
      <w:r w:rsidR="00042BAB">
        <w:t>; n</w:t>
      </w:r>
      <w:r w:rsidR="00042BAB" w:rsidRPr="00933D6A">
        <w:t>umeracy</w:t>
      </w:r>
      <w:r w:rsidR="00042BAB">
        <w:t>; professional development; workforce development</w:t>
      </w:r>
      <w:r w:rsidR="00AF28F1">
        <w:t>.</w:t>
      </w:r>
    </w:p>
    <w:p w:rsidR="00C83D73" w:rsidRDefault="00AF28F1" w:rsidP="007C667B">
      <w:pPr>
        <w:sectPr w:rsidR="00C83D73" w:rsidSect="00CE248F">
          <w:footerReference w:type="even" r:id="rId12"/>
          <w:footerReference w:type="default" r:id="rId13"/>
          <w:pgSz w:w="11907" w:h="16840" w:code="9"/>
          <w:pgMar w:top="1276" w:right="1701" w:bottom="1276" w:left="1418" w:header="709" w:footer="556" w:gutter="0"/>
          <w:cols w:space="708"/>
          <w:docGrid w:linePitch="360"/>
        </w:sectPr>
      </w:pPr>
      <w:r>
        <w:rPr>
          <w:noProof/>
          <w:lang w:eastAsia="en-AU"/>
        </w:rPr>
        <mc:AlternateContent>
          <mc:Choice Requires="wps">
            <w:drawing>
              <wp:anchor distT="0" distB="0" distL="114300" distR="114300" simplePos="0" relativeHeight="251765760" behindDoc="0" locked="0" layoutInCell="1" allowOverlap="1" wp14:anchorId="771EE627" wp14:editId="7770622C">
                <wp:simplePos x="0" y="0"/>
                <wp:positionH relativeFrom="column">
                  <wp:posOffset>-19050</wp:posOffset>
                </wp:positionH>
                <wp:positionV relativeFrom="paragraph">
                  <wp:posOffset>1766570</wp:posOffset>
                </wp:positionV>
                <wp:extent cx="5596890" cy="5791200"/>
                <wp:effectExtent l="0" t="0" r="381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579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25F" w:rsidRPr="00A021FC" w:rsidRDefault="0037725F" w:rsidP="007C667B">
                            <w:pPr>
                              <w:pStyle w:val="Imprint"/>
                              <w:rPr>
                                <w:b/>
                              </w:rPr>
                            </w:pPr>
                            <w:r w:rsidRPr="00A021FC">
                              <w:rPr>
                                <w:b/>
                              </w:rPr>
                              <w:t>©</w:t>
                            </w:r>
                            <w:r>
                              <w:rPr>
                                <w:b/>
                              </w:rPr>
                              <w:t xml:space="preserve"> </w:t>
                            </w:r>
                            <w:r w:rsidRPr="00AF28F1">
                              <w:rPr>
                                <w:b/>
                              </w:rPr>
                              <w:t>National Centre for Vocational Education Research,</w:t>
                            </w:r>
                            <w:r w:rsidRPr="00A021FC">
                              <w:rPr>
                                <w:b/>
                              </w:rPr>
                              <w:t xml:space="preserve"> </w:t>
                            </w:r>
                            <w:r>
                              <w:rPr>
                                <w:b/>
                              </w:rPr>
                              <w:t>2016</w:t>
                            </w:r>
                          </w:p>
                          <w:p w:rsidR="0037725F" w:rsidRDefault="0037725F" w:rsidP="007C667B">
                            <w:pPr>
                              <w:pStyle w:val="Imprint"/>
                              <w:rPr>
                                <w:sz w:val="20"/>
                              </w:rPr>
                            </w:pPr>
                            <w:r w:rsidRPr="00E80270">
                              <w:rPr>
                                <w:noProof/>
                                <w:sz w:val="20"/>
                                <w:lang w:eastAsia="en-AU"/>
                              </w:rPr>
                              <w:drawing>
                                <wp:inline distT="0" distB="0" distL="0" distR="0" wp14:anchorId="2EE6D71E" wp14:editId="68D765CC">
                                  <wp:extent cx="850265" cy="302895"/>
                                  <wp:effectExtent l="19050" t="0" r="6985" b="0"/>
                                  <wp:docPr id="5"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4"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37725F" w:rsidRDefault="0037725F" w:rsidP="00AF28F1">
                            <w:pPr>
                              <w:pStyle w:val="BodyText3"/>
                              <w:rPr>
                                <w:b/>
                              </w:rPr>
                            </w:pPr>
                            <w:r>
                              <w:t xml:space="preserve">With the exception of cover design, artwork, photographs, all logos, and any other material where copyright is owned by a third party, all material presented in this document </w:t>
                            </w:r>
                            <w:proofErr w:type="gramStart"/>
                            <w:r>
                              <w:t>is</w:t>
                            </w:r>
                            <w:proofErr w:type="gramEnd"/>
                            <w:r>
                              <w:t xml:space="preserve"> provided under a Creative Commons Attribution 3.0 Australia &lt;http://creativecommons.org/licenses/by/3.0/au&gt;. </w:t>
                            </w:r>
                          </w:p>
                          <w:p w:rsidR="0037725F" w:rsidRDefault="0037725F" w:rsidP="007C667B">
                            <w:pPr>
                              <w:pStyle w:val="Imprint"/>
                            </w:pPr>
                            <w:r w:rsidRPr="00A021FC">
                              <w:t>This document should be attributed as</w:t>
                            </w:r>
                            <w:r>
                              <w:t xml:space="preserve"> Medlin, J 2016</w:t>
                            </w:r>
                            <w:r w:rsidRPr="00E36563">
                              <w:t xml:space="preserve">, </w:t>
                            </w:r>
                            <w:r w:rsidRPr="009F0A4B">
                              <w:rPr>
                                <w:i/>
                              </w:rPr>
                              <w:t>The Australian literacy and numeracy workforce: a literature review</w:t>
                            </w:r>
                            <w:r w:rsidRPr="00A021FC">
                              <w:rPr>
                                <w:i/>
                              </w:rPr>
                              <w:t>,</w:t>
                            </w:r>
                            <w:r w:rsidRPr="00A021FC">
                              <w:t xml:space="preserve"> NCVER, Adelaide.</w:t>
                            </w:r>
                          </w:p>
                          <w:p w:rsidR="0037725F" w:rsidRDefault="0037725F" w:rsidP="00AF28F1">
                            <w:pPr>
                              <w:pStyle w:val="BodyText3"/>
                              <w:rPr>
                                <w:b/>
                              </w:rPr>
                            </w:pPr>
                            <w:r>
                              <w:t>NCVER is an independent body responsible for collecting, managing and analysing, evaluating and communicating research and statistics about vocational education and training (VET).</w:t>
                            </w:r>
                          </w:p>
                          <w:p w:rsidR="0037725F" w:rsidRDefault="0037725F" w:rsidP="00CE248F">
                            <w:pPr>
                              <w:pStyle w:val="Imprint"/>
                              <w:spacing w:before="0"/>
                              <w:rPr>
                                <w:color w:val="000000"/>
                              </w:rPr>
                            </w:pPr>
                          </w:p>
                          <w:p w:rsidR="0037725F" w:rsidRPr="005C2FCF" w:rsidRDefault="0037725F" w:rsidP="00CE248F">
                            <w:pPr>
                              <w:pStyle w:val="Imprint"/>
                              <w:spacing w:before="0"/>
                              <w:rPr>
                                <w:color w:val="000000"/>
                              </w:rPr>
                            </w:pPr>
                            <w:r w:rsidRPr="005C2FCF">
                              <w:rPr>
                                <w:color w:val="000000"/>
                              </w:rPr>
                              <w:t>TD/TNC</w:t>
                            </w:r>
                            <w:r w:rsidRPr="005C2FCF">
                              <w:rPr>
                                <w:color w:val="000000"/>
                              </w:rPr>
                              <w:tab/>
                            </w:r>
                            <w:r>
                              <w:rPr>
                                <w:color w:val="000000"/>
                              </w:rPr>
                              <w:t>126.17</w:t>
                            </w:r>
                          </w:p>
                          <w:p w:rsidR="0037725F" w:rsidRPr="005C2FCF" w:rsidRDefault="0037725F" w:rsidP="007C667B">
                            <w:pPr>
                              <w:pStyle w:val="Imprint"/>
                              <w:ind w:right="1700"/>
                              <w:rPr>
                                <w:color w:val="000000"/>
                              </w:rPr>
                            </w:pPr>
                            <w:r w:rsidRPr="005C2FCF">
                              <w:rPr>
                                <w:color w:val="000000"/>
                              </w:rPr>
                              <w:t>Published by NCVER</w:t>
                            </w:r>
                            <w:r>
                              <w:rPr>
                                <w:color w:val="000000"/>
                              </w:rPr>
                              <w:t xml:space="preserve">, </w:t>
                            </w:r>
                            <w:r w:rsidRPr="005C2FCF">
                              <w:rPr>
                                <w:color w:val="000000"/>
                              </w:rPr>
                              <w:t>ABN 87 007 967 311</w:t>
                            </w:r>
                          </w:p>
                          <w:p w:rsidR="0037725F" w:rsidRPr="005C2FCF" w:rsidRDefault="0037725F" w:rsidP="007C667B">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37725F" w:rsidRDefault="0037725F" w:rsidP="004B031A">
                            <w:pPr>
                              <w:pStyle w:val="Imprint"/>
                              <w:tabs>
                                <w:tab w:val="left" w:pos="2127"/>
                              </w:tabs>
                            </w:pPr>
                            <w:r w:rsidRPr="00D212FA">
                              <w:rPr>
                                <w:b/>
                              </w:rPr>
                              <w:t>P</w:t>
                            </w:r>
                            <w:r>
                              <w:rPr>
                                <w:b/>
                              </w:rPr>
                              <w:t>hone</w:t>
                            </w:r>
                            <w:r w:rsidRPr="00D212FA">
                              <w:t xml:space="preserve"> +61 8 8230 8400 </w:t>
                            </w:r>
                            <w:r>
                              <w:t xml:space="preserve"> </w:t>
                            </w:r>
                            <w:r w:rsidRPr="00D212FA">
                              <w:t xml:space="preserve"> </w:t>
                            </w:r>
                            <w:r>
                              <w:t xml:space="preserve">  </w:t>
                            </w:r>
                            <w:r>
                              <w:tab/>
                            </w:r>
                            <w:r w:rsidRPr="00D212FA">
                              <w:rPr>
                                <w:b/>
                              </w:rPr>
                              <w:t>F</w:t>
                            </w:r>
                            <w:r>
                              <w:rPr>
                                <w:b/>
                              </w:rPr>
                              <w:t>ax</w:t>
                            </w:r>
                            <w:r w:rsidRPr="00D212FA">
                              <w:t xml:space="preserve"> +61 8 8212 3436</w:t>
                            </w:r>
                          </w:p>
                          <w:p w:rsidR="0037725F" w:rsidRPr="002C3573" w:rsidRDefault="0037725F" w:rsidP="004B031A">
                            <w:pPr>
                              <w:pStyle w:val="Imprint"/>
                              <w:tabs>
                                <w:tab w:val="left" w:pos="2127"/>
                              </w:tabs>
                              <w:spacing w:before="0"/>
                            </w:pPr>
                            <w:r w:rsidRPr="002C3573">
                              <w:rPr>
                                <w:b/>
                              </w:rPr>
                              <w:t>Email</w:t>
                            </w:r>
                            <w:r w:rsidRPr="002C3573">
                              <w:t xml:space="preserve"> </w:t>
                            </w:r>
                            <w:hyperlink r:id="rId15" w:history="1">
                              <w:r w:rsidRPr="004B031A">
                                <w:rPr>
                                  <w:rStyle w:val="Hyperlink"/>
                                  <w:sz w:val="16"/>
                                  <w:szCs w:val="16"/>
                                </w:rPr>
                                <w:t>ncver@ncver.edu.au</w:t>
                              </w:r>
                            </w:hyperlink>
                            <w:r w:rsidRPr="002C3573">
                              <w:t xml:space="preserve">    </w:t>
                            </w:r>
                            <w:r w:rsidRPr="002C3573">
                              <w:rPr>
                                <w:b/>
                              </w:rPr>
                              <w:t>Web</w:t>
                            </w:r>
                            <w:r w:rsidRPr="002C3573">
                              <w:t xml:space="preserve"> &lt;http://www.ncver.edu.au</w:t>
                            </w:r>
                            <w:proofErr w:type="gramStart"/>
                            <w:r w:rsidRPr="002C3573">
                              <w:t>&gt;  &lt;</w:t>
                            </w:r>
                            <w:proofErr w:type="gramEnd"/>
                            <w:r>
                              <w:fldChar w:fldCharType="begin"/>
                            </w:r>
                            <w:r>
                              <w:instrText xml:space="preserve"> HYPERLINK "http://www.lsay.edu.au" </w:instrText>
                            </w:r>
                            <w:r>
                              <w:fldChar w:fldCharType="separate"/>
                            </w:r>
                            <w:r w:rsidRPr="004B031A">
                              <w:rPr>
                                <w:rStyle w:val="Hyperlink"/>
                                <w:sz w:val="16"/>
                                <w:szCs w:val="16"/>
                              </w:rPr>
                              <w:t>http://www.lsay.edu.au</w:t>
                            </w:r>
                            <w:r>
                              <w:rPr>
                                <w:rStyle w:val="Hyperlink"/>
                                <w:sz w:val="16"/>
                                <w:szCs w:val="16"/>
                              </w:rPr>
                              <w:fldChar w:fldCharType="end"/>
                            </w:r>
                            <w:r w:rsidRPr="002C3573">
                              <w:t>&gt;</w:t>
                            </w:r>
                          </w:p>
                          <w:p w:rsidR="0037725F" w:rsidRPr="00D212FA" w:rsidRDefault="0037725F" w:rsidP="007C667B">
                            <w:pPr>
                              <w:pStyle w:val="Imprint"/>
                              <w:tabs>
                                <w:tab w:val="left" w:pos="993"/>
                                <w:tab w:val="left" w:pos="3686"/>
                              </w:tabs>
                              <w:spacing w:before="0"/>
                            </w:pPr>
                            <w:r w:rsidRPr="00E65C3B">
                              <w:rPr>
                                <w:b/>
                              </w:rPr>
                              <w:t>Follow us:</w:t>
                            </w:r>
                            <w:r>
                              <w:t xml:space="preserve"> </w:t>
                            </w:r>
                            <w:r>
                              <w:tab/>
                              <w:t xml:space="preserve">   &lt;http://twitter.com/ncver&gt;</w:t>
                            </w:r>
                            <w:r>
                              <w:tab/>
                              <w:t>&lt;http://www.linkedin.com/company/ncver&gt;</w:t>
                            </w:r>
                          </w:p>
                        </w:txbxContent>
                      </wps:txbx>
                      <wps:bodyPr rot="0" vert="horz" wrap="square" lIns="0" tIns="45720" rIns="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1.5pt;margin-top:139.1pt;width:440.7pt;height:45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" filled="f" stroked="f">
                <v:textbox inset="0,,0">
                  <w:txbxContent>
                    <w:p w:rsidR="0037725F" w:rsidRPr="00A021FC" w:rsidRDefault="0037725F" w:rsidP="007C667B">
                      <w:pPr>
                        <w:pStyle w:val="Imprint"/>
                        <w:rPr>
                          <w:b/>
                        </w:rPr>
                      </w:pPr>
                      <w:r w:rsidRPr="00A021FC">
                        <w:rPr>
                          <w:b/>
                        </w:rPr>
                        <w:t>©</w:t>
                      </w:r>
                      <w:r>
                        <w:rPr>
                          <w:b/>
                        </w:rPr>
                        <w:t xml:space="preserve"> </w:t>
                      </w:r>
                      <w:r w:rsidRPr="00AF28F1">
                        <w:rPr>
                          <w:b/>
                        </w:rPr>
                        <w:t>National Centre for Vocational Education Research,</w:t>
                      </w:r>
                      <w:r w:rsidRPr="00A021FC">
                        <w:rPr>
                          <w:b/>
                        </w:rPr>
                        <w:t xml:space="preserve"> </w:t>
                      </w:r>
                      <w:r>
                        <w:rPr>
                          <w:b/>
                        </w:rPr>
                        <w:t>2016</w:t>
                      </w:r>
                    </w:p>
                    <w:p w:rsidR="0037725F" w:rsidRDefault="0037725F" w:rsidP="007C667B">
                      <w:pPr>
                        <w:pStyle w:val="Imprint"/>
                        <w:rPr>
                          <w:sz w:val="20"/>
                        </w:rPr>
                      </w:pPr>
                      <w:r w:rsidRPr="00E80270">
                        <w:rPr>
                          <w:noProof/>
                          <w:sz w:val="20"/>
                          <w:lang w:eastAsia="en-AU"/>
                        </w:rPr>
                        <w:drawing>
                          <wp:inline distT="0" distB="0" distL="0" distR="0" wp14:anchorId="07525FF4" wp14:editId="7E37B6DA">
                            <wp:extent cx="850265" cy="302895"/>
                            <wp:effectExtent l="19050" t="0" r="6985" b="0"/>
                            <wp:docPr id="2"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6"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37725F" w:rsidRDefault="0037725F" w:rsidP="00AF28F1">
                      <w:pPr>
                        <w:pStyle w:val="BodyText3"/>
                        <w:rPr>
                          <w:b/>
                        </w:rPr>
                      </w:pPr>
                      <w:r>
                        <w:t xml:space="preserve">With the exception of cover design, artwork, photographs, all logos, and any other material where copyright is owned by a third party, all material presented in this document </w:t>
                      </w:r>
                      <w:proofErr w:type="gramStart"/>
                      <w:r>
                        <w:t>is</w:t>
                      </w:r>
                      <w:proofErr w:type="gramEnd"/>
                      <w:r>
                        <w:t xml:space="preserve"> provided under a Creative Commons Attribution 3.0 Australia &lt;http://creativecommons.org/licenses/by/3.0/au&gt;. </w:t>
                      </w:r>
                    </w:p>
                    <w:p w:rsidR="0037725F" w:rsidRDefault="0037725F" w:rsidP="007C667B">
                      <w:pPr>
                        <w:pStyle w:val="Imprint"/>
                      </w:pPr>
                      <w:r w:rsidRPr="00A021FC">
                        <w:t>This document should be attributed as</w:t>
                      </w:r>
                      <w:r>
                        <w:t xml:space="preserve"> Medlin, J 2016</w:t>
                      </w:r>
                      <w:r w:rsidRPr="00E36563">
                        <w:t xml:space="preserve">, </w:t>
                      </w:r>
                      <w:r w:rsidRPr="009F0A4B">
                        <w:rPr>
                          <w:i/>
                        </w:rPr>
                        <w:t>The Australian literacy and numeracy workforce: a literature review</w:t>
                      </w:r>
                      <w:r w:rsidRPr="00A021FC">
                        <w:rPr>
                          <w:i/>
                        </w:rPr>
                        <w:t>,</w:t>
                      </w:r>
                      <w:r w:rsidRPr="00A021FC">
                        <w:t xml:space="preserve"> NCVER, Adelaide.</w:t>
                      </w:r>
                    </w:p>
                    <w:p w:rsidR="0037725F" w:rsidRDefault="0037725F" w:rsidP="00AF28F1">
                      <w:pPr>
                        <w:pStyle w:val="BodyText3"/>
                        <w:rPr>
                          <w:b/>
                        </w:rPr>
                      </w:pPr>
                      <w:r>
                        <w:t>NCVER is an independent body responsible for collecting, managing and analysing, evaluating and communicating research and statistics about vocational education and training (VET).</w:t>
                      </w:r>
                    </w:p>
                    <w:p w:rsidR="0037725F" w:rsidRDefault="0037725F" w:rsidP="00CE248F">
                      <w:pPr>
                        <w:pStyle w:val="Imprint"/>
                        <w:spacing w:before="0"/>
                        <w:rPr>
                          <w:color w:val="000000"/>
                        </w:rPr>
                      </w:pPr>
                    </w:p>
                    <w:p w:rsidR="0037725F" w:rsidRPr="005C2FCF" w:rsidRDefault="0037725F" w:rsidP="00CE248F">
                      <w:pPr>
                        <w:pStyle w:val="Imprint"/>
                        <w:spacing w:before="0"/>
                        <w:rPr>
                          <w:color w:val="000000"/>
                        </w:rPr>
                      </w:pPr>
                      <w:r w:rsidRPr="005C2FCF">
                        <w:rPr>
                          <w:color w:val="000000"/>
                        </w:rPr>
                        <w:t>TD/TNC</w:t>
                      </w:r>
                      <w:r w:rsidRPr="005C2FCF">
                        <w:rPr>
                          <w:color w:val="000000"/>
                        </w:rPr>
                        <w:tab/>
                      </w:r>
                      <w:r>
                        <w:rPr>
                          <w:color w:val="000000"/>
                        </w:rPr>
                        <w:t>126.17</w:t>
                      </w:r>
                    </w:p>
                    <w:p w:rsidR="0037725F" w:rsidRPr="005C2FCF" w:rsidRDefault="0037725F" w:rsidP="007C667B">
                      <w:pPr>
                        <w:pStyle w:val="Imprint"/>
                        <w:ind w:right="1700"/>
                        <w:rPr>
                          <w:color w:val="000000"/>
                        </w:rPr>
                      </w:pPr>
                      <w:r w:rsidRPr="005C2FCF">
                        <w:rPr>
                          <w:color w:val="000000"/>
                        </w:rPr>
                        <w:t>Published by NCVER</w:t>
                      </w:r>
                      <w:r>
                        <w:rPr>
                          <w:color w:val="000000"/>
                        </w:rPr>
                        <w:t xml:space="preserve">, </w:t>
                      </w:r>
                      <w:r w:rsidRPr="005C2FCF">
                        <w:rPr>
                          <w:color w:val="000000"/>
                        </w:rPr>
                        <w:t>ABN 87 007 967 311</w:t>
                      </w:r>
                    </w:p>
                    <w:p w:rsidR="0037725F" w:rsidRPr="005C2FCF" w:rsidRDefault="0037725F" w:rsidP="007C667B">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37725F" w:rsidRDefault="0037725F" w:rsidP="004B031A">
                      <w:pPr>
                        <w:pStyle w:val="Imprint"/>
                        <w:tabs>
                          <w:tab w:val="left" w:pos="2127"/>
                        </w:tabs>
                      </w:pPr>
                      <w:r w:rsidRPr="00D212FA">
                        <w:rPr>
                          <w:b/>
                        </w:rPr>
                        <w:t>P</w:t>
                      </w:r>
                      <w:r>
                        <w:rPr>
                          <w:b/>
                        </w:rPr>
                        <w:t>hone</w:t>
                      </w:r>
                      <w:r w:rsidRPr="00D212FA">
                        <w:t xml:space="preserve"> +61 8 8230 8400 </w:t>
                      </w:r>
                      <w:r>
                        <w:t xml:space="preserve"> </w:t>
                      </w:r>
                      <w:r w:rsidRPr="00D212FA">
                        <w:t xml:space="preserve"> </w:t>
                      </w:r>
                      <w:r>
                        <w:t xml:space="preserve">  </w:t>
                      </w:r>
                      <w:r>
                        <w:tab/>
                      </w:r>
                      <w:r w:rsidRPr="00D212FA">
                        <w:rPr>
                          <w:b/>
                        </w:rPr>
                        <w:t>F</w:t>
                      </w:r>
                      <w:r>
                        <w:rPr>
                          <w:b/>
                        </w:rPr>
                        <w:t>ax</w:t>
                      </w:r>
                      <w:r w:rsidRPr="00D212FA">
                        <w:t xml:space="preserve"> +61 8 8212 3436</w:t>
                      </w:r>
                    </w:p>
                    <w:p w:rsidR="0037725F" w:rsidRPr="002C3573" w:rsidRDefault="0037725F" w:rsidP="004B031A">
                      <w:pPr>
                        <w:pStyle w:val="Imprint"/>
                        <w:tabs>
                          <w:tab w:val="left" w:pos="2127"/>
                        </w:tabs>
                        <w:spacing w:before="0"/>
                      </w:pPr>
                      <w:r w:rsidRPr="002C3573">
                        <w:rPr>
                          <w:b/>
                        </w:rPr>
                        <w:t>Email</w:t>
                      </w:r>
                      <w:r w:rsidRPr="002C3573">
                        <w:t xml:space="preserve"> </w:t>
                      </w:r>
                      <w:hyperlink r:id="rId17" w:history="1">
                        <w:r w:rsidRPr="004B031A">
                          <w:rPr>
                            <w:rStyle w:val="Hyperlink"/>
                            <w:sz w:val="16"/>
                            <w:szCs w:val="16"/>
                          </w:rPr>
                          <w:t>ncver@ncver.edu.au</w:t>
                        </w:r>
                      </w:hyperlink>
                      <w:r w:rsidRPr="002C3573">
                        <w:t xml:space="preserve">    </w:t>
                      </w:r>
                      <w:r w:rsidRPr="002C3573">
                        <w:rPr>
                          <w:b/>
                        </w:rPr>
                        <w:t>Web</w:t>
                      </w:r>
                      <w:r w:rsidRPr="002C3573">
                        <w:t xml:space="preserve"> &lt;http://www.ncver.edu.au</w:t>
                      </w:r>
                      <w:proofErr w:type="gramStart"/>
                      <w:r w:rsidRPr="002C3573">
                        <w:t>&gt;  &lt;</w:t>
                      </w:r>
                      <w:proofErr w:type="gramEnd"/>
                      <w:r>
                        <w:fldChar w:fldCharType="begin"/>
                      </w:r>
                      <w:r>
                        <w:instrText xml:space="preserve"> HYPERLINK "http://www.lsay.edu.au" </w:instrText>
                      </w:r>
                      <w:r>
                        <w:fldChar w:fldCharType="separate"/>
                      </w:r>
                      <w:r w:rsidRPr="004B031A">
                        <w:rPr>
                          <w:rStyle w:val="Hyperlink"/>
                          <w:sz w:val="16"/>
                          <w:szCs w:val="16"/>
                        </w:rPr>
                        <w:t>http://www.lsay.edu.au</w:t>
                      </w:r>
                      <w:r>
                        <w:rPr>
                          <w:rStyle w:val="Hyperlink"/>
                          <w:sz w:val="16"/>
                          <w:szCs w:val="16"/>
                        </w:rPr>
                        <w:fldChar w:fldCharType="end"/>
                      </w:r>
                      <w:r w:rsidRPr="002C3573">
                        <w:t>&gt;</w:t>
                      </w:r>
                    </w:p>
                    <w:p w:rsidR="0037725F" w:rsidRPr="00D212FA" w:rsidRDefault="0037725F" w:rsidP="007C667B">
                      <w:pPr>
                        <w:pStyle w:val="Imprint"/>
                        <w:tabs>
                          <w:tab w:val="left" w:pos="993"/>
                          <w:tab w:val="left" w:pos="3686"/>
                        </w:tabs>
                        <w:spacing w:before="0"/>
                      </w:pPr>
                      <w:r w:rsidRPr="00E65C3B">
                        <w:rPr>
                          <w:b/>
                        </w:rPr>
                        <w:t>Follow us:</w:t>
                      </w:r>
                      <w:r>
                        <w:t xml:space="preserve"> </w:t>
                      </w:r>
                      <w:r>
                        <w:tab/>
                        <w:t xml:space="preserve">   &lt;http://twitter.com/ncver&gt;</w:t>
                      </w:r>
                      <w:r>
                        <w:tab/>
                        <w:t>&lt;http://www.linkedin.com/company/ncver&gt;</w:t>
                      </w:r>
                    </w:p>
                  </w:txbxContent>
                </v:textbox>
              </v:shape>
            </w:pict>
          </mc:Fallback>
        </mc:AlternateContent>
      </w:r>
      <w:r>
        <w:rPr>
          <w:noProof/>
          <w:lang w:eastAsia="en-AU"/>
        </w:rPr>
        <w:drawing>
          <wp:anchor distT="0" distB="0" distL="114300" distR="114300" simplePos="0" relativeHeight="251768832" behindDoc="0" locked="0" layoutInCell="1" allowOverlap="1" wp14:anchorId="2D732381" wp14:editId="3525C688">
            <wp:simplePos x="0" y="0"/>
            <wp:positionH relativeFrom="column">
              <wp:posOffset>2160905</wp:posOffset>
            </wp:positionH>
            <wp:positionV relativeFrom="paragraph">
              <wp:posOffset>7359650</wp:posOffset>
            </wp:positionV>
            <wp:extent cx="139065" cy="152400"/>
            <wp:effectExtent l="0" t="0" r="0" b="0"/>
            <wp:wrapNone/>
            <wp:docPr id="24" name="Picture 24" descr="P:\PublicationComponents\logos\Social Media\InBug-16px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PublicationComponents\logos\Social Media\InBug-16px_0.png"/>
                    <pic:cNvPicPr>
                      <a:picLocks noChangeAspect="1" noChangeArrowheads="1"/>
                    </pic:cNvPicPr>
                  </pic:nvPicPr>
                  <pic:blipFill>
                    <a:blip r:embed="rId18" cstate="print">
                      <a:biLevel thresh="50000"/>
                      <a:extLst>
                        <a:ext uri="{28A0092B-C50C-407E-A947-70E740481C1C}">
                          <a14:useLocalDpi xmlns:a14="http://schemas.microsoft.com/office/drawing/2010/main" val="0"/>
                        </a:ext>
                      </a:extLst>
                    </a:blip>
                    <a:srcRect/>
                    <a:stretch>
                      <a:fillRect/>
                    </a:stretch>
                  </pic:blipFill>
                  <pic:spPr bwMode="auto">
                    <a:xfrm>
                      <a:off x="0" y="0"/>
                      <a:ext cx="139065" cy="1524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769856" behindDoc="0" locked="0" layoutInCell="1" allowOverlap="1" wp14:anchorId="053E31DE" wp14:editId="3E0BB8B0">
            <wp:simplePos x="0" y="0"/>
            <wp:positionH relativeFrom="column">
              <wp:posOffset>525780</wp:posOffset>
            </wp:positionH>
            <wp:positionV relativeFrom="paragraph">
              <wp:posOffset>7352030</wp:posOffset>
            </wp:positionV>
            <wp:extent cx="141605" cy="152400"/>
            <wp:effectExtent l="0" t="0" r="0" b="0"/>
            <wp:wrapNone/>
            <wp:docPr id="13" name="Picture 1" descr="P:\PublicationComponents\logos\Social Media\Twitter_bla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Social Media\Twitter_blackbox.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605" cy="152400"/>
                    </a:xfrm>
                    <a:prstGeom prst="rect">
                      <a:avLst/>
                    </a:prstGeom>
                    <a:noFill/>
                    <a:ln w="9525">
                      <a:noFill/>
                      <a:miter lim="800000"/>
                      <a:headEnd/>
                      <a:tailEnd/>
                    </a:ln>
                  </pic:spPr>
                </pic:pic>
              </a:graphicData>
            </a:graphic>
          </wp:anchor>
        </w:drawing>
      </w:r>
      <w:r w:rsidR="007C667B" w:rsidRPr="005C2FCF">
        <w:br w:type="page"/>
      </w:r>
    </w:p>
    <w:p w:rsidR="00F33784" w:rsidRPr="000E691E" w:rsidRDefault="00F33784" w:rsidP="00F33784">
      <w:pPr>
        <w:pStyle w:val="Heading1"/>
      </w:pPr>
      <w:bookmarkStart w:id="10" w:name="_Toc416260892"/>
      <w:bookmarkStart w:id="11" w:name="_Toc416421648"/>
      <w:bookmarkStart w:id="12" w:name="_Toc421789465"/>
      <w:bookmarkStart w:id="13" w:name="_Toc468264947"/>
      <w:bookmarkStart w:id="14" w:name="_Toc468371014"/>
      <w:bookmarkStart w:id="15" w:name="_Toc468885395"/>
      <w:r>
        <w:lastRenderedPageBreak/>
        <w:t xml:space="preserve">About </w:t>
      </w:r>
      <w:r w:rsidR="00AC5497">
        <w:t>the</w:t>
      </w:r>
      <w:r>
        <w:t xml:space="preserve"> research</w:t>
      </w:r>
      <w:bookmarkEnd w:id="10"/>
      <w:bookmarkEnd w:id="11"/>
      <w:bookmarkEnd w:id="12"/>
      <w:bookmarkEnd w:id="13"/>
      <w:bookmarkEnd w:id="14"/>
      <w:bookmarkEnd w:id="15"/>
      <w:r w:rsidR="003364D3">
        <w:t xml:space="preserve"> </w:t>
      </w:r>
    </w:p>
    <w:p w:rsidR="00CE248F" w:rsidRDefault="00CE248F" w:rsidP="00CE248F">
      <w:pPr>
        <w:pStyle w:val="Abouttheresearchpubtitle"/>
      </w:pPr>
      <w:bookmarkStart w:id="16" w:name="_Toc296423680"/>
      <w:bookmarkStart w:id="17" w:name="_Toc296497511"/>
      <w:bookmarkStart w:id="18" w:name="_Toc98394877"/>
      <w:bookmarkStart w:id="19" w:name="_Toc98394878"/>
      <w:bookmarkStart w:id="20" w:name="_Toc296423682"/>
      <w:bookmarkStart w:id="21" w:name="_Toc296497513"/>
      <w:r>
        <w:t>T</w:t>
      </w:r>
      <w:r w:rsidR="00ED1E6D">
        <w:t>he Australian literacy and numeracy workforce</w:t>
      </w:r>
      <w:r>
        <w:t>:</w:t>
      </w:r>
      <w:r w:rsidR="00ED1E6D">
        <w:t xml:space="preserve"> a literature review</w:t>
      </w:r>
      <w:bookmarkEnd w:id="16"/>
      <w:bookmarkEnd w:id="17"/>
    </w:p>
    <w:p w:rsidR="00CE248F" w:rsidRPr="001B43CF" w:rsidRDefault="00ED0D45" w:rsidP="00CE248F">
      <w:pPr>
        <w:pStyle w:val="Heading3"/>
      </w:pPr>
      <w:bookmarkStart w:id="22" w:name="_Toc296423681"/>
      <w:bookmarkStart w:id="23" w:name="_Toc296497512"/>
      <w:r>
        <w:t>Jo</w:t>
      </w:r>
      <w:r w:rsidR="008102A1">
        <w:t>anne</w:t>
      </w:r>
      <w:r>
        <w:t xml:space="preserve"> Medlin</w:t>
      </w:r>
      <w:bookmarkEnd w:id="18"/>
      <w:bookmarkEnd w:id="22"/>
      <w:bookmarkEnd w:id="23"/>
    </w:p>
    <w:p w:rsidR="00AF28F1" w:rsidRDefault="00AF28F1" w:rsidP="00ED1E6D">
      <w:pPr>
        <w:pStyle w:val="Text"/>
      </w:pPr>
      <w:r w:rsidRPr="00AF28F1">
        <w:t>Building the research capacity of the vocational education and training (VET) sector is of key interest to the National Centre for Vocational Education Research (NCVER). The Foundation Skills Literature Review Project, funded by NCVER, provided scholarships to practitioners to develop their research skills through undertaking literature reviews focused on key topics relating to foundation skills. Here ‘foundation skills’ refers to adult language, literacy (including digital literacy) and numeracy skills, as well as employability skills, such as problem-solving, collaboration and self-management.</w:t>
      </w:r>
    </w:p>
    <w:p w:rsidR="00E655E0" w:rsidRDefault="00E655E0" w:rsidP="00E655E0">
      <w:pPr>
        <w:pStyle w:val="Text"/>
      </w:pPr>
      <w:r>
        <w:t xml:space="preserve">The four main topic areas were: </w:t>
      </w:r>
    </w:p>
    <w:p w:rsidR="00E655E0" w:rsidRDefault="00E655E0" w:rsidP="00E655E0">
      <w:pPr>
        <w:pStyle w:val="Dotpoint1"/>
      </w:pPr>
      <w:r>
        <w:t>perspectives on adult language, literacy and numeracy</w:t>
      </w:r>
    </w:p>
    <w:p w:rsidR="00E655E0" w:rsidRDefault="00E655E0" w:rsidP="00E655E0">
      <w:pPr>
        <w:pStyle w:val="Dotpoint1"/>
      </w:pPr>
      <w:r>
        <w:t>policy contexts and measures of impact</w:t>
      </w:r>
    </w:p>
    <w:p w:rsidR="00E655E0" w:rsidRDefault="00E655E0" w:rsidP="00E655E0">
      <w:pPr>
        <w:pStyle w:val="Dotpoint1"/>
      </w:pPr>
      <w:r>
        <w:t>context and sites — pedagogy and the learners</w:t>
      </w:r>
    </w:p>
    <w:p w:rsidR="00E655E0" w:rsidRDefault="00E655E0" w:rsidP="00E655E0">
      <w:pPr>
        <w:pStyle w:val="Dotpoint1"/>
      </w:pPr>
      <w:proofErr w:type="gramStart"/>
      <w:r>
        <w:t>workforce</w:t>
      </w:r>
      <w:proofErr w:type="gramEnd"/>
      <w:r>
        <w:t xml:space="preserve"> development. </w:t>
      </w:r>
    </w:p>
    <w:p w:rsidR="00E655E0" w:rsidRPr="00B31F20" w:rsidRDefault="00E655E0" w:rsidP="00E655E0">
      <w:pPr>
        <w:pStyle w:val="Text"/>
      </w:pPr>
      <w:r>
        <w:t xml:space="preserve">The literature reviews will form a key information source for the Foundation Skills Pod, a new resource hosted on </w:t>
      </w:r>
      <w:proofErr w:type="spellStart"/>
      <w:r>
        <w:t>VOCEDplus</w:t>
      </w:r>
      <w:proofErr w:type="spellEnd"/>
      <w:r>
        <w:t xml:space="preserve"> &lt;http://www.voced.edu.au/pod-foundation-skills&gt;. The Foundation Skills Literature Review Project is a partnership between NCVER and the University of Technology Sydney and the Australian Council for Adult Literacy</w:t>
      </w:r>
      <w:r w:rsidRPr="00AE3C2E">
        <w:t>.</w:t>
      </w:r>
    </w:p>
    <w:p w:rsidR="00AF28F1" w:rsidRDefault="00867432" w:rsidP="00867432">
      <w:pPr>
        <w:pStyle w:val="Text"/>
      </w:pPr>
      <w:r>
        <w:t xml:space="preserve">In this review the focus is </w:t>
      </w:r>
      <w:r w:rsidR="003B58B3">
        <w:t>on</w:t>
      </w:r>
      <w:r>
        <w:t xml:space="preserve"> workforce</w:t>
      </w:r>
      <w:r w:rsidR="003B58B3">
        <w:t xml:space="preserve"> development</w:t>
      </w:r>
      <w:r>
        <w:t xml:space="preserve">. </w:t>
      </w:r>
      <w:r w:rsidRPr="00717565">
        <w:t>The continuing development of the adult language, literacy and numeracy, and employabilit</w:t>
      </w:r>
      <w:r>
        <w:t>y skills</w:t>
      </w:r>
      <w:r w:rsidR="003B58B3">
        <w:t xml:space="preserve"> </w:t>
      </w:r>
      <w:r w:rsidRPr="00717565">
        <w:t>workforce is critical. The National Foundation Skills Strategy for Adults inclu</w:t>
      </w:r>
      <w:r w:rsidR="007F54F1">
        <w:t>des a specific priority focus</w:t>
      </w:r>
      <w:r w:rsidRPr="00717565">
        <w:t xml:space="preserve"> on workforce development</w:t>
      </w:r>
      <w:r w:rsidR="00CA26F1">
        <w:t>,</w:t>
      </w:r>
      <w:r>
        <w:t xml:space="preserve"> with the aims of this priority</w:t>
      </w:r>
      <w:r w:rsidR="007F54F1">
        <w:t xml:space="preserve"> focus</w:t>
      </w:r>
      <w:r>
        <w:t xml:space="preserve"> being threefold: </w:t>
      </w:r>
    </w:p>
    <w:p w:rsidR="00AF28F1" w:rsidRDefault="00867432" w:rsidP="00AF28F1">
      <w:pPr>
        <w:pStyle w:val="Text"/>
        <w:numPr>
          <w:ilvl w:val="0"/>
          <w:numId w:val="24"/>
        </w:numPr>
      </w:pPr>
      <w:r>
        <w:t xml:space="preserve">to </w:t>
      </w:r>
      <w:r w:rsidRPr="00717565">
        <w:t xml:space="preserve">build the skills of specialist </w:t>
      </w:r>
      <w:r>
        <w:t>language, literacy and numeracy</w:t>
      </w:r>
      <w:r w:rsidR="00CA26F1">
        <w:t xml:space="preserve"> practitioners</w:t>
      </w:r>
    </w:p>
    <w:p w:rsidR="00AF28F1" w:rsidRDefault="003B58B3" w:rsidP="00AF28F1">
      <w:pPr>
        <w:pStyle w:val="Text"/>
        <w:numPr>
          <w:ilvl w:val="0"/>
          <w:numId w:val="24"/>
        </w:numPr>
      </w:pPr>
      <w:r>
        <w:t xml:space="preserve">to </w:t>
      </w:r>
      <w:r w:rsidR="00867432" w:rsidRPr="00717565">
        <w:t>develop the workforce to enable the effective teaching of e</w:t>
      </w:r>
      <w:r w:rsidR="00867432">
        <w:t>mployability skills</w:t>
      </w:r>
    </w:p>
    <w:p w:rsidR="00ED1E6D" w:rsidRDefault="00CA26F1" w:rsidP="00AF28F1">
      <w:pPr>
        <w:pStyle w:val="Text"/>
        <w:numPr>
          <w:ilvl w:val="0"/>
          <w:numId w:val="24"/>
        </w:numPr>
      </w:pPr>
      <w:proofErr w:type="gramStart"/>
      <w:r>
        <w:t>to</w:t>
      </w:r>
      <w:proofErr w:type="gramEnd"/>
      <w:r>
        <w:t xml:space="preserve"> </w:t>
      </w:r>
      <w:r w:rsidR="00867432">
        <w:t>support</w:t>
      </w:r>
      <w:r w:rsidR="00867432" w:rsidRPr="00717565">
        <w:t xml:space="preserve"> vocational trainers to better integrate foundation skills with vocational training</w:t>
      </w:r>
      <w:r w:rsidR="00867432">
        <w:t>.</w:t>
      </w:r>
      <w:r w:rsidR="00ED1E6D">
        <w:t xml:space="preserve"> </w:t>
      </w:r>
    </w:p>
    <w:p w:rsidR="009A0649" w:rsidRDefault="003B58B3" w:rsidP="009A0649">
      <w:pPr>
        <w:pStyle w:val="Text"/>
        <w:rPr>
          <w:rFonts w:eastAsiaTheme="minorHAnsi"/>
        </w:rPr>
      </w:pPr>
      <w:r>
        <w:t xml:space="preserve">In undertaking </w:t>
      </w:r>
      <w:r w:rsidR="00AF28F1">
        <w:t>a</w:t>
      </w:r>
      <w:r>
        <w:t xml:space="preserve"> review</w:t>
      </w:r>
      <w:r w:rsidR="00AF28F1">
        <w:t xml:space="preserve"> of literature from the last 10 years</w:t>
      </w:r>
      <w:r>
        <w:t>, Medlin focuses on the literacy and numeracy workforce</w:t>
      </w:r>
      <w:r w:rsidR="00AF28F1">
        <w:t>. S</w:t>
      </w:r>
      <w:r w:rsidR="009A0649">
        <w:t xml:space="preserve">he highlights </w:t>
      </w:r>
      <w:r w:rsidR="009A0649" w:rsidRPr="000652F1">
        <w:rPr>
          <w:rFonts w:eastAsiaTheme="minorHAnsi"/>
        </w:rPr>
        <w:t xml:space="preserve">the tensions for practice, professional development and </w:t>
      </w:r>
      <w:r w:rsidR="00CA26F1">
        <w:rPr>
          <w:rFonts w:eastAsiaTheme="minorHAnsi"/>
        </w:rPr>
        <w:t xml:space="preserve">the </w:t>
      </w:r>
      <w:r w:rsidR="009A0649" w:rsidRPr="000652F1">
        <w:rPr>
          <w:rFonts w:eastAsiaTheme="minorHAnsi"/>
        </w:rPr>
        <w:t xml:space="preserve">identity of the </w:t>
      </w:r>
      <w:r w:rsidR="009A0649">
        <w:rPr>
          <w:rFonts w:eastAsiaTheme="minorHAnsi"/>
        </w:rPr>
        <w:t>literacy and numeracy</w:t>
      </w:r>
      <w:r w:rsidR="009A0649" w:rsidRPr="000652F1">
        <w:rPr>
          <w:rFonts w:eastAsiaTheme="minorHAnsi"/>
        </w:rPr>
        <w:t xml:space="preserve"> workforce that </w:t>
      </w:r>
      <w:r w:rsidR="009A0649">
        <w:rPr>
          <w:rFonts w:eastAsiaTheme="minorHAnsi"/>
        </w:rPr>
        <w:t>have arisen from the d</w:t>
      </w:r>
      <w:r w:rsidR="009A0649" w:rsidRPr="000652F1">
        <w:rPr>
          <w:rFonts w:eastAsiaTheme="minorHAnsi"/>
        </w:rPr>
        <w:t xml:space="preserve">ifferent </w:t>
      </w:r>
      <w:r w:rsidR="009A0649">
        <w:rPr>
          <w:rFonts w:eastAsiaTheme="minorHAnsi"/>
        </w:rPr>
        <w:t xml:space="preserve">perspectives </w:t>
      </w:r>
      <w:r w:rsidR="00CA26F1">
        <w:rPr>
          <w:rFonts w:eastAsiaTheme="minorHAnsi"/>
        </w:rPr>
        <w:t>on</w:t>
      </w:r>
      <w:r w:rsidR="009A0649">
        <w:rPr>
          <w:rFonts w:eastAsiaTheme="minorHAnsi"/>
        </w:rPr>
        <w:t xml:space="preserve"> the</w:t>
      </w:r>
      <w:r w:rsidR="009A0649" w:rsidRPr="000652F1">
        <w:rPr>
          <w:rFonts w:eastAsiaTheme="minorHAnsi"/>
        </w:rPr>
        <w:t xml:space="preserve"> contribution of adult literacy</w:t>
      </w:r>
      <w:r w:rsidR="009A0649">
        <w:rPr>
          <w:rFonts w:eastAsiaTheme="minorHAnsi"/>
        </w:rPr>
        <w:t xml:space="preserve"> and numeracy</w:t>
      </w:r>
      <w:r w:rsidR="009A0649" w:rsidRPr="000652F1">
        <w:rPr>
          <w:rFonts w:eastAsiaTheme="minorHAnsi"/>
        </w:rPr>
        <w:t xml:space="preserve"> to economic p</w:t>
      </w:r>
      <w:r w:rsidR="009A0649">
        <w:rPr>
          <w:rFonts w:eastAsiaTheme="minorHAnsi"/>
        </w:rPr>
        <w:t>roductivity</w:t>
      </w:r>
      <w:r w:rsidR="001D0EE3">
        <w:rPr>
          <w:rFonts w:eastAsiaTheme="minorHAnsi"/>
        </w:rPr>
        <w:t>,</w:t>
      </w:r>
      <w:r w:rsidR="009A0649">
        <w:rPr>
          <w:rFonts w:eastAsiaTheme="minorHAnsi"/>
        </w:rPr>
        <w:t xml:space="preserve"> social cohesion</w:t>
      </w:r>
      <w:r w:rsidR="001D0EE3">
        <w:rPr>
          <w:rFonts w:eastAsiaTheme="minorHAnsi"/>
        </w:rPr>
        <w:t xml:space="preserve"> and the development of the individual</w:t>
      </w:r>
      <w:r w:rsidR="009A0649" w:rsidRPr="000652F1">
        <w:rPr>
          <w:rFonts w:eastAsiaTheme="minorHAnsi"/>
        </w:rPr>
        <w:t xml:space="preserve">. </w:t>
      </w:r>
    </w:p>
    <w:p w:rsidR="00AF28F1" w:rsidRDefault="00AF28F1" w:rsidP="00CE248F">
      <w:pPr>
        <w:pStyle w:val="Text"/>
      </w:pPr>
    </w:p>
    <w:p w:rsidR="00CE248F" w:rsidRPr="005C2FCF" w:rsidRDefault="00CA26F1" w:rsidP="00CE248F">
      <w:pPr>
        <w:pStyle w:val="Text"/>
      </w:pPr>
      <w:r>
        <w:t xml:space="preserve">Dr </w:t>
      </w:r>
      <w:r w:rsidR="00CE248F">
        <w:t>Craig Fowler</w:t>
      </w:r>
      <w:r w:rsidR="00CE248F">
        <w:br/>
      </w:r>
      <w:r w:rsidR="00CE248F" w:rsidRPr="005C2FCF">
        <w:t>Managing Director, NCVER</w:t>
      </w:r>
    </w:p>
    <w:bookmarkEnd w:id="19"/>
    <w:bookmarkEnd w:id="20"/>
    <w:bookmarkEnd w:id="21"/>
    <w:p w:rsidR="00606061" w:rsidRPr="005C2FCF" w:rsidRDefault="00606061" w:rsidP="005955B2">
      <w:pPr>
        <w:pStyle w:val="Text"/>
      </w:pPr>
    </w:p>
    <w:p w:rsidR="00F33784" w:rsidRDefault="00F33784" w:rsidP="003813E4">
      <w:pPr>
        <w:pStyle w:val="Contents"/>
      </w:pPr>
    </w:p>
    <w:p w:rsidR="00F33784" w:rsidRDefault="00F33784" w:rsidP="003813E4">
      <w:pPr>
        <w:pStyle w:val="Contents"/>
        <w:sectPr w:rsidR="00F33784" w:rsidSect="00F33784">
          <w:headerReference w:type="default" r:id="rId20"/>
          <w:footerReference w:type="even" r:id="rId21"/>
          <w:footerReference w:type="default" r:id="rId22"/>
          <w:pgSz w:w="11907" w:h="16840" w:code="9"/>
          <w:pgMar w:top="1276" w:right="1418" w:bottom="992" w:left="1418" w:header="709" w:footer="420" w:gutter="0"/>
          <w:cols w:space="708"/>
          <w:docGrid w:linePitch="360"/>
        </w:sectPr>
      </w:pPr>
    </w:p>
    <w:p w:rsidR="00B61B22" w:rsidRDefault="00B61B22">
      <w:pPr>
        <w:spacing w:before="0" w:line="240" w:lineRule="auto"/>
        <w:rPr>
          <w:rFonts w:ascii="Arial" w:hAnsi="Arial" w:cs="Arial"/>
          <w:color w:val="000000"/>
          <w:kern w:val="28"/>
          <w:sz w:val="48"/>
          <w:szCs w:val="48"/>
        </w:rPr>
      </w:pPr>
      <w:r>
        <w:lastRenderedPageBreak/>
        <w:br w:type="page"/>
      </w:r>
    </w:p>
    <w:p w:rsidR="00EB0AD7" w:rsidRPr="003813E4" w:rsidRDefault="00EB0AD7" w:rsidP="00820045">
      <w:pPr>
        <w:pStyle w:val="Contents"/>
        <w:spacing w:after="480"/>
      </w:pPr>
      <w:r w:rsidRPr="00BE5DCB">
        <w:lastRenderedPageBreak/>
        <w:t>Contents</w:t>
      </w:r>
      <w:bookmarkEnd w:id="7"/>
      <w:bookmarkEnd w:id="8"/>
      <w:bookmarkEnd w:id="9"/>
    </w:p>
    <w:p w:rsidR="00554A33" w:rsidRDefault="00F32110">
      <w:pPr>
        <w:pStyle w:val="TOC1"/>
        <w:rPr>
          <w:rFonts w:asciiTheme="minorHAnsi" w:eastAsiaTheme="minorEastAsia" w:hAnsiTheme="minorHAnsi" w:cstheme="minorBidi"/>
          <w:color w:val="auto"/>
          <w:sz w:val="22"/>
          <w:szCs w:val="22"/>
          <w:lang w:eastAsia="en-AU"/>
        </w:rPr>
      </w:pPr>
      <w:r>
        <w:rPr>
          <w:rFonts w:ascii="Avant Garde" w:hAnsi="Avant Garde"/>
        </w:rPr>
        <w:fldChar w:fldCharType="begin"/>
      </w:r>
      <w:r w:rsidR="002947D3">
        <w:rPr>
          <w:rFonts w:ascii="Avant Garde" w:hAnsi="Avant Garde"/>
        </w:rPr>
        <w:instrText xml:space="preserve"> TOC \t "Heading 1,1,Heading 2,2" </w:instrText>
      </w:r>
      <w:r>
        <w:rPr>
          <w:rFonts w:ascii="Avant Garde" w:hAnsi="Avant Garde"/>
        </w:rPr>
        <w:fldChar w:fldCharType="separate"/>
      </w:r>
      <w:r w:rsidR="00554A33">
        <w:t>Introduction</w:t>
      </w:r>
      <w:r w:rsidR="00554A33">
        <w:tab/>
      </w:r>
      <w:r w:rsidR="00554A33">
        <w:fldChar w:fldCharType="begin"/>
      </w:r>
      <w:r w:rsidR="00554A33">
        <w:instrText xml:space="preserve"> PAGEREF _Toc468885396 \h </w:instrText>
      </w:r>
      <w:r w:rsidR="00554A33">
        <w:fldChar w:fldCharType="separate"/>
      </w:r>
      <w:r w:rsidR="00554A33">
        <w:t>6</w:t>
      </w:r>
      <w:r w:rsidR="00554A33">
        <w:fldChar w:fldCharType="end"/>
      </w:r>
    </w:p>
    <w:p w:rsidR="00554A33" w:rsidRDefault="00554A33">
      <w:pPr>
        <w:pStyle w:val="TOC2"/>
        <w:rPr>
          <w:rFonts w:asciiTheme="minorHAnsi" w:eastAsiaTheme="minorEastAsia" w:hAnsiTheme="minorHAnsi" w:cstheme="minorBidi"/>
          <w:color w:val="auto"/>
          <w:sz w:val="22"/>
          <w:szCs w:val="22"/>
          <w:lang w:eastAsia="en-AU"/>
        </w:rPr>
      </w:pPr>
      <w:r>
        <w:t>Methodology</w:t>
      </w:r>
      <w:r>
        <w:tab/>
      </w:r>
      <w:r>
        <w:fldChar w:fldCharType="begin"/>
      </w:r>
      <w:r>
        <w:instrText xml:space="preserve"> PAGEREF _Toc468885397 \h </w:instrText>
      </w:r>
      <w:r>
        <w:fldChar w:fldCharType="separate"/>
      </w:r>
      <w:r>
        <w:t>6</w:t>
      </w:r>
      <w:r>
        <w:fldChar w:fldCharType="end"/>
      </w:r>
    </w:p>
    <w:p w:rsidR="00554A33" w:rsidRDefault="00554A33">
      <w:pPr>
        <w:pStyle w:val="TOC1"/>
        <w:rPr>
          <w:rFonts w:asciiTheme="minorHAnsi" w:eastAsiaTheme="minorEastAsia" w:hAnsiTheme="minorHAnsi" w:cstheme="minorBidi"/>
          <w:color w:val="auto"/>
          <w:sz w:val="22"/>
          <w:szCs w:val="22"/>
          <w:lang w:eastAsia="en-AU"/>
        </w:rPr>
      </w:pPr>
      <w:r>
        <w:t>Historical development of the literacy and numeracy workforce</w:t>
      </w:r>
      <w:r>
        <w:tab/>
      </w:r>
      <w:r>
        <w:fldChar w:fldCharType="begin"/>
      </w:r>
      <w:r>
        <w:instrText xml:space="preserve"> PAGEREF _Toc468885398 \h </w:instrText>
      </w:r>
      <w:r>
        <w:fldChar w:fldCharType="separate"/>
      </w:r>
      <w:r>
        <w:t>7</w:t>
      </w:r>
      <w:r>
        <w:fldChar w:fldCharType="end"/>
      </w:r>
    </w:p>
    <w:p w:rsidR="00554A33" w:rsidRDefault="00554A33">
      <w:pPr>
        <w:pStyle w:val="TOC1"/>
        <w:rPr>
          <w:rFonts w:asciiTheme="minorHAnsi" w:eastAsiaTheme="minorEastAsia" w:hAnsiTheme="minorHAnsi" w:cstheme="minorBidi"/>
          <w:color w:val="auto"/>
          <w:sz w:val="22"/>
          <w:szCs w:val="22"/>
          <w:lang w:eastAsia="en-AU"/>
        </w:rPr>
      </w:pPr>
      <w:r>
        <w:t>The current literacy and numeracy workforce</w:t>
      </w:r>
      <w:r>
        <w:tab/>
      </w:r>
      <w:r>
        <w:fldChar w:fldCharType="begin"/>
      </w:r>
      <w:r>
        <w:instrText xml:space="preserve"> PAGEREF _Toc468885399 \h </w:instrText>
      </w:r>
      <w:r>
        <w:fldChar w:fldCharType="separate"/>
      </w:r>
      <w:r>
        <w:t>15</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The Australian literacy and numeracy workforce</w:t>
      </w:r>
      <w:r>
        <w:tab/>
      </w:r>
      <w:r>
        <w:fldChar w:fldCharType="begin"/>
      </w:r>
      <w:r>
        <w:instrText xml:space="preserve"> PAGEREF _Toc468885400 \h </w:instrText>
      </w:r>
      <w:r>
        <w:fldChar w:fldCharType="separate"/>
      </w:r>
      <w:r>
        <w:t>16</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International comparisons</w:t>
      </w:r>
      <w:r>
        <w:tab/>
      </w:r>
      <w:r>
        <w:fldChar w:fldCharType="begin"/>
      </w:r>
      <w:r>
        <w:instrText xml:space="preserve"> PAGEREF _Toc468885401 \h </w:instrText>
      </w:r>
      <w:r>
        <w:fldChar w:fldCharType="separate"/>
      </w:r>
      <w:r>
        <w:t>17</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Non-professionals in the Australian literacy and numeracy field</w:t>
      </w:r>
      <w:r>
        <w:tab/>
      </w:r>
      <w:r>
        <w:fldChar w:fldCharType="begin"/>
      </w:r>
      <w:r>
        <w:instrText xml:space="preserve"> PAGEREF _Toc468885402 \h </w:instrText>
      </w:r>
      <w:r>
        <w:fldChar w:fldCharType="separate"/>
      </w:r>
      <w:r>
        <w:t>18</w:t>
      </w:r>
      <w:r>
        <w:fldChar w:fldCharType="end"/>
      </w:r>
    </w:p>
    <w:p w:rsidR="00554A33" w:rsidRDefault="00554A33">
      <w:pPr>
        <w:pStyle w:val="TOC1"/>
        <w:rPr>
          <w:rFonts w:asciiTheme="minorHAnsi" w:eastAsiaTheme="minorEastAsia" w:hAnsiTheme="minorHAnsi" w:cstheme="minorBidi"/>
          <w:color w:val="auto"/>
          <w:sz w:val="22"/>
          <w:szCs w:val="22"/>
          <w:lang w:eastAsia="en-AU"/>
        </w:rPr>
      </w:pPr>
      <w:r>
        <w:t>Practitioner qualifications and student outcomes</w:t>
      </w:r>
      <w:r>
        <w:tab/>
      </w:r>
      <w:r>
        <w:fldChar w:fldCharType="begin"/>
      </w:r>
      <w:r>
        <w:instrText xml:space="preserve"> PAGEREF _Toc468885403 \h </w:instrText>
      </w:r>
      <w:r>
        <w:fldChar w:fldCharType="separate"/>
      </w:r>
      <w:r>
        <w:t>20</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Australian qualifications</w:t>
      </w:r>
      <w:r>
        <w:tab/>
      </w:r>
      <w:r>
        <w:fldChar w:fldCharType="begin"/>
      </w:r>
      <w:r>
        <w:instrText xml:space="preserve"> PAGEREF _Toc468885404 \h </w:instrText>
      </w:r>
      <w:r>
        <w:fldChar w:fldCharType="separate"/>
      </w:r>
      <w:r>
        <w:t>20</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Importance of qualifications</w:t>
      </w:r>
      <w:r>
        <w:tab/>
      </w:r>
      <w:r>
        <w:fldChar w:fldCharType="begin"/>
      </w:r>
      <w:r>
        <w:instrText xml:space="preserve"> PAGEREF _Toc468885405 \h </w:instrText>
      </w:r>
      <w:r>
        <w:fldChar w:fldCharType="separate"/>
      </w:r>
      <w:r>
        <w:t>21</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Other factors that influence outcomes</w:t>
      </w:r>
      <w:r>
        <w:tab/>
      </w:r>
      <w:r>
        <w:fldChar w:fldCharType="begin"/>
      </w:r>
      <w:r>
        <w:instrText xml:space="preserve"> PAGEREF _Toc468885406 \h </w:instrText>
      </w:r>
      <w:r>
        <w:fldChar w:fldCharType="separate"/>
      </w:r>
      <w:r>
        <w:t>21</w:t>
      </w:r>
      <w:r>
        <w:fldChar w:fldCharType="end"/>
      </w:r>
    </w:p>
    <w:p w:rsidR="00554A33" w:rsidRDefault="00554A33">
      <w:pPr>
        <w:pStyle w:val="TOC1"/>
        <w:rPr>
          <w:rFonts w:asciiTheme="minorHAnsi" w:eastAsiaTheme="minorEastAsia" w:hAnsiTheme="minorHAnsi" w:cstheme="minorBidi"/>
          <w:color w:val="auto"/>
          <w:sz w:val="22"/>
          <w:szCs w:val="22"/>
          <w:lang w:eastAsia="en-AU"/>
        </w:rPr>
      </w:pPr>
      <w:r>
        <w:t>Professional development</w:t>
      </w:r>
      <w:r>
        <w:tab/>
      </w:r>
      <w:r>
        <w:fldChar w:fldCharType="begin"/>
      </w:r>
      <w:r>
        <w:instrText xml:space="preserve"> PAGEREF _Toc468885407 \h </w:instrText>
      </w:r>
      <w:r>
        <w:fldChar w:fldCharType="separate"/>
      </w:r>
      <w:r>
        <w:t>23</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Benefits of professional development</w:t>
      </w:r>
      <w:r>
        <w:tab/>
      </w:r>
      <w:r>
        <w:fldChar w:fldCharType="begin"/>
      </w:r>
      <w:r>
        <w:instrText xml:space="preserve"> PAGEREF _Toc468885408 \h </w:instrText>
      </w:r>
      <w:r>
        <w:fldChar w:fldCharType="separate"/>
      </w:r>
      <w:r>
        <w:t>23</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Training to target whole workforces</w:t>
      </w:r>
      <w:r>
        <w:tab/>
      </w:r>
      <w:r>
        <w:fldChar w:fldCharType="begin"/>
      </w:r>
      <w:r>
        <w:instrText xml:space="preserve"> PAGEREF _Toc468885409 \h </w:instrText>
      </w:r>
      <w:r>
        <w:fldChar w:fldCharType="separate"/>
      </w:r>
      <w:r>
        <w:t>23</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Professional development needs</w:t>
      </w:r>
      <w:r>
        <w:tab/>
      </w:r>
      <w:r>
        <w:fldChar w:fldCharType="begin"/>
      </w:r>
      <w:r>
        <w:instrText xml:space="preserve"> PAGEREF _Toc468885410 \h </w:instrText>
      </w:r>
      <w:r>
        <w:fldChar w:fldCharType="separate"/>
      </w:r>
      <w:r>
        <w:t>24</w:t>
      </w:r>
      <w:r>
        <w:fldChar w:fldCharType="end"/>
      </w:r>
    </w:p>
    <w:p w:rsidR="00554A33" w:rsidRDefault="00554A33">
      <w:pPr>
        <w:pStyle w:val="TOC2"/>
        <w:rPr>
          <w:rFonts w:asciiTheme="minorHAnsi" w:eastAsiaTheme="minorEastAsia" w:hAnsiTheme="minorHAnsi" w:cstheme="minorBidi"/>
          <w:color w:val="auto"/>
          <w:sz w:val="22"/>
          <w:szCs w:val="22"/>
          <w:lang w:eastAsia="en-AU"/>
        </w:rPr>
      </w:pPr>
      <w:r>
        <w:rPr>
          <w:lang w:eastAsia="en-AU"/>
        </w:rPr>
        <w:t>Effective professional development activities</w:t>
      </w:r>
      <w:r>
        <w:tab/>
      </w:r>
      <w:r>
        <w:fldChar w:fldCharType="begin"/>
      </w:r>
      <w:r>
        <w:instrText xml:space="preserve"> PAGEREF _Toc468885411 \h </w:instrText>
      </w:r>
      <w:r>
        <w:fldChar w:fldCharType="separate"/>
      </w:r>
      <w:r>
        <w:t>26</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Participant evaluation</w:t>
      </w:r>
      <w:r>
        <w:tab/>
      </w:r>
      <w:r>
        <w:fldChar w:fldCharType="begin"/>
      </w:r>
      <w:r>
        <w:instrText xml:space="preserve"> PAGEREF _Toc468885412 \h </w:instrText>
      </w:r>
      <w:r>
        <w:fldChar w:fldCharType="separate"/>
      </w:r>
      <w:r>
        <w:t>28</w:t>
      </w:r>
      <w:r>
        <w:fldChar w:fldCharType="end"/>
      </w:r>
    </w:p>
    <w:p w:rsidR="00554A33" w:rsidRDefault="00554A33">
      <w:pPr>
        <w:pStyle w:val="TOC1"/>
        <w:rPr>
          <w:rFonts w:asciiTheme="minorHAnsi" w:eastAsiaTheme="minorEastAsia" w:hAnsiTheme="minorHAnsi" w:cstheme="minorBidi"/>
          <w:color w:val="auto"/>
          <w:sz w:val="22"/>
          <w:szCs w:val="22"/>
          <w:lang w:eastAsia="en-AU"/>
        </w:rPr>
      </w:pPr>
      <w:r>
        <w:t>Professional frameworks</w:t>
      </w:r>
      <w:r>
        <w:tab/>
      </w:r>
      <w:r>
        <w:fldChar w:fldCharType="begin"/>
      </w:r>
      <w:r>
        <w:instrText xml:space="preserve"> PAGEREF _Toc468885413 \h </w:instrText>
      </w:r>
      <w:r>
        <w:fldChar w:fldCharType="separate"/>
      </w:r>
      <w:r>
        <w:t>29</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Need for Australian frameworks and standards</w:t>
      </w:r>
      <w:r>
        <w:tab/>
      </w:r>
      <w:r>
        <w:fldChar w:fldCharType="begin"/>
      </w:r>
      <w:r>
        <w:instrText xml:space="preserve"> PAGEREF _Toc468885414 \h </w:instrText>
      </w:r>
      <w:r>
        <w:fldChar w:fldCharType="separate"/>
      </w:r>
      <w:r>
        <w:t>29</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Who defines professionalism?</w:t>
      </w:r>
      <w:r>
        <w:tab/>
      </w:r>
      <w:r>
        <w:fldChar w:fldCharType="begin"/>
      </w:r>
      <w:r>
        <w:instrText xml:space="preserve"> PAGEREF _Toc468885415 \h </w:instrText>
      </w:r>
      <w:r>
        <w:fldChar w:fldCharType="separate"/>
      </w:r>
      <w:r>
        <w:t>30</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Who benefits from frameworks and standards?</w:t>
      </w:r>
      <w:r>
        <w:tab/>
      </w:r>
      <w:r>
        <w:fldChar w:fldCharType="begin"/>
      </w:r>
      <w:r>
        <w:instrText xml:space="preserve"> PAGEREF _Toc468885416 \h </w:instrText>
      </w:r>
      <w:r>
        <w:fldChar w:fldCharType="separate"/>
      </w:r>
      <w:r>
        <w:t>31</w:t>
      </w:r>
      <w:r>
        <w:fldChar w:fldCharType="end"/>
      </w:r>
    </w:p>
    <w:p w:rsidR="00554A33" w:rsidRDefault="00554A33">
      <w:pPr>
        <w:pStyle w:val="TOC2"/>
        <w:rPr>
          <w:rFonts w:asciiTheme="minorHAnsi" w:eastAsiaTheme="minorEastAsia" w:hAnsiTheme="minorHAnsi" w:cstheme="minorBidi"/>
          <w:color w:val="auto"/>
          <w:sz w:val="22"/>
          <w:szCs w:val="22"/>
          <w:lang w:eastAsia="en-AU"/>
        </w:rPr>
      </w:pPr>
      <w:r>
        <w:t>How frameworks are used</w:t>
      </w:r>
      <w:r>
        <w:tab/>
      </w:r>
      <w:r>
        <w:fldChar w:fldCharType="begin"/>
      </w:r>
      <w:r>
        <w:instrText xml:space="preserve"> PAGEREF _Toc468885417 \h </w:instrText>
      </w:r>
      <w:r>
        <w:fldChar w:fldCharType="separate"/>
      </w:r>
      <w:r>
        <w:t>31</w:t>
      </w:r>
      <w:r>
        <w:fldChar w:fldCharType="end"/>
      </w:r>
    </w:p>
    <w:p w:rsidR="00554A33" w:rsidRDefault="00554A33">
      <w:pPr>
        <w:pStyle w:val="TOC1"/>
        <w:rPr>
          <w:rFonts w:asciiTheme="minorHAnsi" w:eastAsiaTheme="minorEastAsia" w:hAnsiTheme="minorHAnsi" w:cstheme="minorBidi"/>
          <w:color w:val="auto"/>
          <w:sz w:val="22"/>
          <w:szCs w:val="22"/>
          <w:lang w:eastAsia="en-AU"/>
        </w:rPr>
      </w:pPr>
      <w:r>
        <w:t>Conclusion</w:t>
      </w:r>
      <w:r>
        <w:tab/>
      </w:r>
      <w:r>
        <w:fldChar w:fldCharType="begin"/>
      </w:r>
      <w:r>
        <w:instrText xml:space="preserve"> PAGEREF _Toc468885418 \h </w:instrText>
      </w:r>
      <w:r>
        <w:fldChar w:fldCharType="separate"/>
      </w:r>
      <w:r>
        <w:t>33</w:t>
      </w:r>
      <w:r>
        <w:fldChar w:fldCharType="end"/>
      </w:r>
    </w:p>
    <w:p w:rsidR="00554A33" w:rsidRDefault="00554A33">
      <w:pPr>
        <w:pStyle w:val="TOC1"/>
        <w:rPr>
          <w:rFonts w:asciiTheme="minorHAnsi" w:eastAsiaTheme="minorEastAsia" w:hAnsiTheme="minorHAnsi" w:cstheme="minorBidi"/>
          <w:color w:val="auto"/>
          <w:sz w:val="22"/>
          <w:szCs w:val="22"/>
          <w:lang w:eastAsia="en-AU"/>
        </w:rPr>
      </w:pPr>
      <w:r>
        <w:t>References</w:t>
      </w:r>
      <w:r>
        <w:tab/>
      </w:r>
      <w:r>
        <w:fldChar w:fldCharType="begin"/>
      </w:r>
      <w:r>
        <w:instrText xml:space="preserve"> PAGEREF _Toc468885419 \h </w:instrText>
      </w:r>
      <w:r>
        <w:fldChar w:fldCharType="separate"/>
      </w:r>
      <w:r>
        <w:t>34</w:t>
      </w:r>
      <w:r>
        <w:fldChar w:fldCharType="end"/>
      </w:r>
    </w:p>
    <w:p w:rsidR="00ED0C08" w:rsidRDefault="00F32110" w:rsidP="00ED0C08">
      <w:pPr>
        <w:pStyle w:val="Text"/>
        <w:rPr>
          <w:b/>
        </w:rPr>
      </w:pPr>
      <w:r>
        <w:rPr>
          <w:rFonts w:ascii="Avant Garde" w:hAnsi="Avant Garde"/>
          <w:noProof/>
          <w:color w:val="000000"/>
          <w:szCs w:val="19"/>
        </w:rPr>
        <w:fldChar w:fldCharType="end"/>
      </w:r>
    </w:p>
    <w:p w:rsidR="00ED0C08" w:rsidRPr="00156177" w:rsidRDefault="00ED0C08">
      <w:pPr>
        <w:spacing w:before="0" w:line="240" w:lineRule="auto"/>
        <w:rPr>
          <w:b/>
          <w:color w:val="C00000"/>
        </w:rPr>
      </w:pPr>
      <w:r w:rsidRPr="00156177">
        <w:rPr>
          <w:b/>
          <w:color w:val="C00000"/>
        </w:rPr>
        <w:br w:type="page"/>
      </w:r>
    </w:p>
    <w:p w:rsidR="00ED0C08" w:rsidRPr="005C2FCF" w:rsidRDefault="005E69B4" w:rsidP="00ED0C08">
      <w:pPr>
        <w:pStyle w:val="Heading1"/>
      </w:pPr>
      <w:bookmarkStart w:id="24" w:name="_Toc316371585"/>
      <w:bookmarkStart w:id="25" w:name="_Toc468885396"/>
      <w:bookmarkStart w:id="26" w:name="_Toc416260886"/>
      <w:bookmarkEnd w:id="3"/>
      <w:bookmarkEnd w:id="4"/>
      <w:bookmarkEnd w:id="5"/>
      <w:bookmarkEnd w:id="6"/>
      <w:r>
        <w:lastRenderedPageBreak/>
        <w:t>Introduction</w:t>
      </w:r>
      <w:bookmarkEnd w:id="24"/>
      <w:bookmarkEnd w:id="25"/>
    </w:p>
    <w:p w:rsidR="005E69B4" w:rsidRPr="00B63C6C" w:rsidRDefault="005E69B4" w:rsidP="005E69B4">
      <w:pPr>
        <w:pStyle w:val="Text"/>
      </w:pPr>
      <w:bookmarkStart w:id="27" w:name="_Toc188077642"/>
      <w:bookmarkStart w:id="28" w:name="_Toc316371586"/>
      <w:r w:rsidRPr="00B63C6C">
        <w:t>This report reviews literature on the Australian adult literacy and numeracy workforce. The review begins with the historical development of the field of adult literacy and nume</w:t>
      </w:r>
      <w:r w:rsidR="00D00E9E">
        <w:t>racy teaching in Australia. It then</w:t>
      </w:r>
      <w:r w:rsidRPr="00B63C6C">
        <w:t xml:space="preserve"> provides information from literature published between 2006 and 2016 on the composition of the current Australian </w:t>
      </w:r>
      <w:r w:rsidR="002B5568">
        <w:t>literacy and numeracy</w:t>
      </w:r>
      <w:r w:rsidRPr="00B63C6C">
        <w:t xml:space="preserve"> workforce, </w:t>
      </w:r>
      <w:r w:rsidR="00D00E9E">
        <w:t>including</w:t>
      </w:r>
      <w:r w:rsidRPr="00B63C6C">
        <w:t xml:space="preserve"> comparisons </w:t>
      </w:r>
      <w:r w:rsidR="00C33520">
        <w:t>with</w:t>
      </w:r>
      <w:r w:rsidRPr="00B63C6C">
        <w:t xml:space="preserve"> Canada, the U</w:t>
      </w:r>
      <w:r w:rsidR="00C33520">
        <w:t>nited Kingdom</w:t>
      </w:r>
      <w:r w:rsidRPr="00B63C6C">
        <w:t xml:space="preserve"> and New Zealand, followed by research describing Australian </w:t>
      </w:r>
      <w:r>
        <w:t>literacy and numeracy</w:t>
      </w:r>
      <w:r w:rsidRPr="00B63C6C">
        <w:t xml:space="preserve"> practitioner qualifications. Also discussed are the roles of unqualified workers, volunteers and students and the link between teacher qualifications, teacher characteristics and student outcomes. The review includes literature on professional development and covers modes of training, useful </w:t>
      </w:r>
      <w:r>
        <w:t>professional development</w:t>
      </w:r>
      <w:r w:rsidRPr="00B63C6C">
        <w:t xml:space="preserve"> content and the efficacy of professional frameworks for the </w:t>
      </w:r>
      <w:r>
        <w:t>literacy and numeracy</w:t>
      </w:r>
      <w:r w:rsidRPr="00B63C6C">
        <w:t xml:space="preserve"> workforce.</w:t>
      </w:r>
    </w:p>
    <w:p w:rsidR="005E69B4" w:rsidRPr="00B63C6C" w:rsidRDefault="005E69B4" w:rsidP="005C79AE">
      <w:pPr>
        <w:pStyle w:val="Heading2"/>
      </w:pPr>
      <w:bookmarkStart w:id="29" w:name="_Toc468885397"/>
      <w:r w:rsidRPr="00B63C6C">
        <w:t>Methodology</w:t>
      </w:r>
      <w:bookmarkEnd w:id="29"/>
    </w:p>
    <w:p w:rsidR="005E69B4" w:rsidRPr="009328C9" w:rsidRDefault="005E69B4" w:rsidP="005E69B4">
      <w:pPr>
        <w:pStyle w:val="Text"/>
      </w:pPr>
      <w:r w:rsidRPr="00B63C6C">
        <w:t>To locate current literature</w:t>
      </w:r>
      <w:r w:rsidR="00C33520">
        <w:t>,</w:t>
      </w:r>
      <w:r w:rsidRPr="00B63C6C">
        <w:t xml:space="preserve"> </w:t>
      </w:r>
      <w:r w:rsidR="00C33520">
        <w:t>online academic data</w:t>
      </w:r>
      <w:r>
        <w:t xml:space="preserve">bases and other sources were searched. </w:t>
      </w:r>
      <w:r w:rsidR="00D00E9E">
        <w:t>P</w:t>
      </w:r>
      <w:r w:rsidRPr="00B63C6C">
        <w:t xml:space="preserve">rofessional networks </w:t>
      </w:r>
      <w:r w:rsidR="00D00E9E">
        <w:t xml:space="preserve">were also drawn on </w:t>
      </w:r>
      <w:r w:rsidRPr="00B63C6C">
        <w:t xml:space="preserve">and clarification </w:t>
      </w:r>
      <w:r w:rsidR="00D00E9E">
        <w:t xml:space="preserve">sought from </w:t>
      </w:r>
      <w:r w:rsidR="00C33520">
        <w:t>six writers in the field</w:t>
      </w:r>
      <w:r w:rsidR="00C33520">
        <w:rPr>
          <w:rStyle w:val="FootnoteReference"/>
        </w:rPr>
        <w:footnoteReference w:id="1"/>
      </w:r>
      <w:r w:rsidR="00C33520">
        <w:t xml:space="preserve">, </w:t>
      </w:r>
      <w:r w:rsidRPr="00B63C6C">
        <w:t>personnel at LINC Tasmania</w:t>
      </w:r>
      <w:r w:rsidR="00C33520">
        <w:rPr>
          <w:rStyle w:val="FootnoteReference"/>
        </w:rPr>
        <w:footnoteReference w:id="2"/>
      </w:r>
      <w:r w:rsidR="00C33520">
        <w:t>,</w:t>
      </w:r>
      <w:r>
        <w:t xml:space="preserve"> and at the Transitioning </w:t>
      </w:r>
      <w:r w:rsidR="00D00E9E">
        <w:t>P</w:t>
      </w:r>
      <w:r>
        <w:t>rogrammes/</w:t>
      </w:r>
      <w:r w:rsidRPr="000E4EAF">
        <w:t>Foundation Skills Branch</w:t>
      </w:r>
      <w:r>
        <w:t>,</w:t>
      </w:r>
      <w:r w:rsidRPr="000E4EAF">
        <w:t xml:space="preserve"> Australian Government Department of Education and Training.</w:t>
      </w:r>
    </w:p>
    <w:p w:rsidR="005E69B4" w:rsidRPr="00B63C6C" w:rsidRDefault="005E69B4" w:rsidP="005E69B4">
      <w:pPr>
        <w:pStyle w:val="Text"/>
      </w:pPr>
    </w:p>
    <w:p w:rsidR="005E69B4" w:rsidRDefault="005E69B4">
      <w:pPr>
        <w:spacing w:before="0" w:line="240" w:lineRule="auto"/>
        <w:rPr>
          <w:rFonts w:ascii="Arial" w:hAnsi="Arial" w:cs="Tahoma"/>
          <w:kern w:val="28"/>
          <w:sz w:val="28"/>
          <w:szCs w:val="28"/>
        </w:rPr>
      </w:pPr>
      <w:r>
        <w:rPr>
          <w:rFonts w:ascii="Arial" w:hAnsi="Arial" w:cs="Tahoma"/>
          <w:kern w:val="28"/>
          <w:sz w:val="28"/>
          <w:szCs w:val="28"/>
        </w:rPr>
        <w:br w:type="page"/>
      </w:r>
    </w:p>
    <w:p w:rsidR="005E69B4" w:rsidRPr="00B63C6C" w:rsidRDefault="005E69B4" w:rsidP="005E69B4">
      <w:pPr>
        <w:pStyle w:val="Heading1"/>
      </w:pPr>
      <w:bookmarkStart w:id="30" w:name="_Toc468885398"/>
      <w:r w:rsidRPr="00B63C6C">
        <w:lastRenderedPageBreak/>
        <w:t>Histo</w:t>
      </w:r>
      <w:r>
        <w:t>rical development of the literacy and numeracy</w:t>
      </w:r>
      <w:r w:rsidRPr="00B63C6C">
        <w:t xml:space="preserve"> workforce</w:t>
      </w:r>
      <w:bookmarkEnd w:id="30"/>
    </w:p>
    <w:p w:rsidR="005E69B4" w:rsidRPr="00B63C6C" w:rsidRDefault="005E69B4" w:rsidP="009F19BC">
      <w:pPr>
        <w:pStyle w:val="Text"/>
      </w:pPr>
      <w:r w:rsidRPr="00B63C6C">
        <w:t>According to Quigley (2006)</w:t>
      </w:r>
      <w:r w:rsidR="007F54F1">
        <w:t>,</w:t>
      </w:r>
      <w:r w:rsidRPr="00B63C6C">
        <w:t xml:space="preserve"> adult literacy classes, as a documented event in the Western world, have been traced to the 1812 Bristol Adult School</w:t>
      </w:r>
      <w:r w:rsidR="007F54F1">
        <w:t xml:space="preserve"> in England</w:t>
      </w:r>
      <w:r w:rsidR="00C33520">
        <w:t xml:space="preserve">, </w:t>
      </w:r>
      <w:r w:rsidRPr="00B63C6C">
        <w:t>where classes were initially establish</w:t>
      </w:r>
      <w:r w:rsidR="00C33520">
        <w:t>ed to teach locals to read the b</w:t>
      </w:r>
      <w:r w:rsidRPr="00B63C6C">
        <w:t>ible. A succession of discrete and unrelated programs across the U</w:t>
      </w:r>
      <w:r w:rsidR="007F54F1">
        <w:t>nited Ki</w:t>
      </w:r>
      <w:r w:rsidR="00C33520">
        <w:t>ngdom</w:t>
      </w:r>
      <w:r w:rsidRPr="00B63C6C">
        <w:t xml:space="preserve">, </w:t>
      </w:r>
      <w:r w:rsidR="00C33520">
        <w:t>the United States</w:t>
      </w:r>
      <w:r w:rsidRPr="00B63C6C">
        <w:t xml:space="preserve"> and Canada from that time established literacy classes for adults as a social movement outside mainstream education, without the support of a formalised professional field. Organisers and teachers were driven by the underlying purpose of the instruction, which at times included religious </w:t>
      </w:r>
      <w:proofErr w:type="spellStart"/>
      <w:r w:rsidRPr="00B63C6C">
        <w:t>proselytisation</w:t>
      </w:r>
      <w:proofErr w:type="spellEnd"/>
      <w:r w:rsidRPr="00B63C6C">
        <w:t>, social indoctrination, relief from poverty and the improvement of the armed forces (Quigley 2006).</w:t>
      </w:r>
    </w:p>
    <w:p w:rsidR="005E69B4" w:rsidRPr="00B63C6C" w:rsidRDefault="005E69B4" w:rsidP="009F19BC">
      <w:pPr>
        <w:pStyle w:val="Text"/>
      </w:pPr>
      <w:r w:rsidRPr="00B63C6C">
        <w:t>One hundred and fifty years later, countries with compulsory education systems, including Australia, assum</w:t>
      </w:r>
      <w:r w:rsidR="00D00E9E">
        <w:t>ed</w:t>
      </w:r>
      <w:r w:rsidRPr="00B63C6C">
        <w:t xml:space="preserve"> that illiteracy in their adult populations was ‘confined to an irreducible minimum, composed mainly of the mentall</w:t>
      </w:r>
      <w:r w:rsidR="00C33520">
        <w:t>y incapable’ (UNESCO 1953, pp.9—</w:t>
      </w:r>
      <w:r w:rsidRPr="00B63C6C">
        <w:t xml:space="preserve">10). In reality, </w:t>
      </w:r>
      <w:r w:rsidR="00D00E9E">
        <w:t xml:space="preserve">up </w:t>
      </w:r>
      <w:r w:rsidRPr="00B63C6C">
        <w:t>until the 1970s</w:t>
      </w:r>
      <w:r w:rsidR="00D00E9E">
        <w:t>,</w:t>
      </w:r>
      <w:r w:rsidRPr="00B63C6C">
        <w:t xml:space="preserve"> the majority of the population left the schooling system early and many occupations did not require highly literate or numerate employees. Some remediation of literacy problems for adults occurred in the armed forces, where literacy problems had been recognised during </w:t>
      </w:r>
      <w:r w:rsidR="00C33520">
        <w:t>the Second World War</w:t>
      </w:r>
      <w:r w:rsidRPr="00B63C6C">
        <w:t xml:space="preserve"> (Nelson 2010), but was not common in other education sectors.</w:t>
      </w:r>
    </w:p>
    <w:p w:rsidR="005E69B4" w:rsidRPr="00B63C6C" w:rsidRDefault="005E69B4" w:rsidP="009F19BC">
      <w:pPr>
        <w:pStyle w:val="Text"/>
      </w:pPr>
      <w:r w:rsidRPr="00B63C6C">
        <w:t>Meanwhile, other areas of the world were making significant progress in the development of literacy programs for adults. By 1961 Cuba had a mass literacy campaign underpinned by the belief that universal literacy leads to human liberation (Nassif 2000</w:t>
      </w:r>
      <w:r w:rsidR="00C33520">
        <w:t>,</w:t>
      </w:r>
      <w:r w:rsidRPr="00B63C6C">
        <w:t xml:space="preserve"> in </w:t>
      </w:r>
      <w:proofErr w:type="spellStart"/>
      <w:r w:rsidRPr="00B63C6C">
        <w:t>Boughton</w:t>
      </w:r>
      <w:proofErr w:type="spellEnd"/>
      <w:r w:rsidRPr="00B63C6C">
        <w:t xml:space="preserve"> &amp; </w:t>
      </w:r>
      <w:proofErr w:type="spellStart"/>
      <w:r w:rsidRPr="00B63C6C">
        <w:t>Durnan</w:t>
      </w:r>
      <w:proofErr w:type="spellEnd"/>
      <w:r w:rsidRPr="00B63C6C">
        <w:t xml:space="preserve"> 2014). This inspired other African and Latin American countries to introduce large-scale</w:t>
      </w:r>
      <w:r w:rsidR="00D00E9E">
        <w:t>,</w:t>
      </w:r>
      <w:r w:rsidRPr="00B63C6C">
        <w:t xml:space="preserve"> community-embedded literacy programs, including in Brazil, where Paulo Freire became an influential literacy leader (</w:t>
      </w:r>
      <w:proofErr w:type="spellStart"/>
      <w:r w:rsidRPr="00B63C6C">
        <w:t>Boughton</w:t>
      </w:r>
      <w:proofErr w:type="spellEnd"/>
      <w:r w:rsidRPr="00B63C6C">
        <w:t xml:space="preserve"> &amp; </w:t>
      </w:r>
      <w:proofErr w:type="spellStart"/>
      <w:r w:rsidRPr="00B63C6C">
        <w:t>Durnan</w:t>
      </w:r>
      <w:proofErr w:type="spellEnd"/>
      <w:r w:rsidRPr="00B63C6C">
        <w:t xml:space="preserve"> 2014). </w:t>
      </w:r>
    </w:p>
    <w:p w:rsidR="005E69B4" w:rsidRPr="00B63C6C" w:rsidRDefault="00C33520" w:rsidP="009F19BC">
      <w:pPr>
        <w:pStyle w:val="Text"/>
      </w:pPr>
      <w:r>
        <w:t>Scholars</w:t>
      </w:r>
      <w:r w:rsidR="005E69B4" w:rsidRPr="00B63C6C">
        <w:t xml:space="preserve"> who have traced the history of </w:t>
      </w:r>
      <w:r w:rsidR="006B1832" w:rsidRPr="00B63C6C">
        <w:t xml:space="preserve">literacy and numeracy </w:t>
      </w:r>
      <w:r>
        <w:t>in the UK, US</w:t>
      </w:r>
      <w:r w:rsidR="005E69B4" w:rsidRPr="00B63C6C">
        <w:t xml:space="preserve">, Canada and Australia </w:t>
      </w:r>
      <w:r>
        <w:t>claim</w:t>
      </w:r>
      <w:r w:rsidR="005E69B4" w:rsidRPr="00B63C6C">
        <w:t xml:space="preserve"> that the adult </w:t>
      </w:r>
      <w:r w:rsidR="006B1832" w:rsidRPr="00B63C6C">
        <w:t xml:space="preserve">literacy and numeracy </w:t>
      </w:r>
      <w:r w:rsidR="005E69B4" w:rsidRPr="00B63C6C">
        <w:t>movement emerged in the 1970s in response to movements to expand access to education and in the belief that social power and literacy were interdependent</w:t>
      </w:r>
      <w:r w:rsidR="005E69B4" w:rsidRPr="00B63C6C">
        <w:rPr>
          <w:rFonts w:asciiTheme="minorHAnsi" w:eastAsiaTheme="minorHAnsi" w:hAnsiTheme="minorHAnsi" w:cstheme="minorBidi"/>
          <w:sz w:val="22"/>
          <w:szCs w:val="22"/>
        </w:rPr>
        <w:t xml:space="preserve"> </w:t>
      </w:r>
      <w:r w:rsidR="000A0DC5">
        <w:rPr>
          <w:rFonts w:eastAsiaTheme="minorHAnsi"/>
        </w:rPr>
        <w:t>(Osmond 2016</w:t>
      </w:r>
      <w:r w:rsidR="005E69B4" w:rsidRPr="005E69B4">
        <w:rPr>
          <w:rFonts w:eastAsiaTheme="minorHAnsi"/>
        </w:rPr>
        <w:t xml:space="preserve">; </w:t>
      </w:r>
      <w:r w:rsidR="005E69B4" w:rsidRPr="00B63C6C">
        <w:rPr>
          <w:rFonts w:asciiTheme="minorHAnsi" w:eastAsiaTheme="minorHAnsi" w:hAnsiTheme="minorHAnsi" w:cstheme="minorBidi"/>
          <w:sz w:val="22"/>
          <w:szCs w:val="22"/>
        </w:rPr>
        <w:t>C</w:t>
      </w:r>
      <w:r w:rsidR="005E69B4" w:rsidRPr="00B63C6C">
        <w:t xml:space="preserve">ampbell 2009; Hamilton &amp; Hillier 2006; Quigley 2006; Johnston, Kelly &amp; Johnston 2001). In Australia </w:t>
      </w:r>
      <w:r w:rsidR="007F54F1">
        <w:t>at that time</w:t>
      </w:r>
      <w:r w:rsidR="00141842">
        <w:t xml:space="preserve"> </w:t>
      </w:r>
      <w:r w:rsidR="005E69B4" w:rsidRPr="00B63C6C">
        <w:t xml:space="preserve">one of the champions of adult literacy was the Australian Association of Adult Community Education, which established a working party to focus on adult literacy (Nelson 2010). This led to the formation of a national </w:t>
      </w:r>
      <w:r w:rsidR="006B1832" w:rsidRPr="00B63C6C">
        <w:t xml:space="preserve">literacy and numeracy </w:t>
      </w:r>
      <w:r w:rsidR="005E69B4" w:rsidRPr="00B63C6C">
        <w:t>professional body to disseminate information and to provide voluntary networking opportunities</w:t>
      </w:r>
      <w:r w:rsidR="000A0DC5">
        <w:t xml:space="preserve"> </w:t>
      </w:r>
      <w:r w:rsidR="002B5568">
        <w:t>—</w:t>
      </w:r>
      <w:r w:rsidR="000A0DC5">
        <w:t xml:space="preserve"> </w:t>
      </w:r>
      <w:r w:rsidR="005E69B4" w:rsidRPr="00B63C6C">
        <w:t>the Australian Council for Adult Literacy (ACAL)</w:t>
      </w:r>
      <w:r w:rsidR="007F54F1">
        <w:t>,</w:t>
      </w:r>
      <w:r w:rsidR="000A0DC5">
        <w:t xml:space="preserve"> </w:t>
      </w:r>
      <w:r w:rsidR="005E69B4" w:rsidRPr="00B63C6C">
        <w:t>established in 1977 (Nelson 2010; Johnston, Kelly &amp; Johnston 2001).</w:t>
      </w:r>
    </w:p>
    <w:p w:rsidR="005E69B4" w:rsidRPr="009F19BC" w:rsidRDefault="005E69B4" w:rsidP="009F19BC">
      <w:pPr>
        <w:pStyle w:val="Text"/>
      </w:pPr>
      <w:r w:rsidRPr="00B63C6C">
        <w:t>Adult literacy entered the mainstream education system in Australia in 1974</w:t>
      </w:r>
      <w:r w:rsidR="000A0DC5">
        <w:t xml:space="preserve">, when the </w:t>
      </w:r>
      <w:proofErr w:type="spellStart"/>
      <w:r w:rsidR="000A0DC5">
        <w:t>Kangan</w:t>
      </w:r>
      <w:proofErr w:type="spellEnd"/>
      <w:r w:rsidR="000A0DC5">
        <w:t xml:space="preserve"> r</w:t>
      </w:r>
      <w:r w:rsidRPr="00B63C6C">
        <w:t xml:space="preserve">eport proposed </w:t>
      </w:r>
      <w:r w:rsidR="007F54F1">
        <w:t xml:space="preserve">that </w:t>
      </w:r>
      <w:r w:rsidRPr="00B63C6C">
        <w:t xml:space="preserve">the TAFE </w:t>
      </w:r>
      <w:r w:rsidR="000A0DC5">
        <w:t xml:space="preserve">(technical and further education) </w:t>
      </w:r>
      <w:r w:rsidRPr="00B63C6C">
        <w:t>system include literacy as part of its offerings in general educati</w:t>
      </w:r>
      <w:r w:rsidR="000A0DC5">
        <w:t>on (</w:t>
      </w:r>
      <w:proofErr w:type="spellStart"/>
      <w:r w:rsidR="000A0DC5">
        <w:t>Kangan</w:t>
      </w:r>
      <w:proofErr w:type="spellEnd"/>
      <w:r w:rsidR="000A0DC5">
        <w:t xml:space="preserve"> 1974). The report, entitled </w:t>
      </w:r>
      <w:r w:rsidRPr="00B63C6C">
        <w:rPr>
          <w:i/>
        </w:rPr>
        <w:t>TAFE in Australia</w:t>
      </w:r>
      <w:r w:rsidRPr="00B63C6C">
        <w:t xml:space="preserve"> </w:t>
      </w:r>
      <w:r w:rsidR="000A0DC5">
        <w:t>(</w:t>
      </w:r>
      <w:proofErr w:type="spellStart"/>
      <w:r w:rsidR="000A0DC5">
        <w:t>Kangan</w:t>
      </w:r>
      <w:proofErr w:type="spellEnd"/>
      <w:r w:rsidR="000A0DC5">
        <w:t xml:space="preserve"> 1974),</w:t>
      </w:r>
      <w:r w:rsidRPr="00B63C6C">
        <w:t xml:space="preserve"> made recommendations that significant</w:t>
      </w:r>
      <w:r w:rsidR="00D00E9E">
        <w:t>ly</w:t>
      </w:r>
      <w:r w:rsidRPr="00B63C6C">
        <w:t xml:space="preserve"> impact</w:t>
      </w:r>
      <w:r w:rsidR="00D00E9E">
        <w:t>ed</w:t>
      </w:r>
      <w:r w:rsidRPr="00B63C6C">
        <w:t xml:space="preserve"> on the way in which the professional fiel</w:t>
      </w:r>
      <w:r w:rsidRPr="009F19BC">
        <w:t xml:space="preserve">d of </w:t>
      </w:r>
      <w:r w:rsidR="006B1832" w:rsidRPr="009F19BC">
        <w:t xml:space="preserve">literacy and numeracy </w:t>
      </w:r>
      <w:r w:rsidRPr="009F19BC">
        <w:t xml:space="preserve">teachers developed (Osmond </w:t>
      </w:r>
      <w:r w:rsidR="000A0DC5" w:rsidRPr="009F19BC">
        <w:t>2016</w:t>
      </w:r>
      <w:r w:rsidRPr="009F19BC">
        <w:t>). Osmond (</w:t>
      </w:r>
      <w:r w:rsidR="000A0DC5" w:rsidRPr="009F19BC">
        <w:t>2016</w:t>
      </w:r>
      <w:r w:rsidRPr="009F19BC">
        <w:t>) explains that the</w:t>
      </w:r>
      <w:r w:rsidR="00D00E9E">
        <w:t xml:space="preserve"> </w:t>
      </w:r>
      <w:proofErr w:type="spellStart"/>
      <w:r w:rsidR="00D00E9E">
        <w:t>Kangan</w:t>
      </w:r>
      <w:proofErr w:type="spellEnd"/>
      <w:r w:rsidRPr="009F19BC">
        <w:t xml:space="preserve"> report situated </w:t>
      </w:r>
      <w:r w:rsidR="006B1832" w:rsidRPr="009F19BC">
        <w:t xml:space="preserve">literacy and numeracy </w:t>
      </w:r>
      <w:r w:rsidRPr="009F19BC">
        <w:t>alongside technical training but with</w:t>
      </w:r>
      <w:r w:rsidR="000A0DC5" w:rsidRPr="009F19BC">
        <w:t>out imposed delivery structures</w:t>
      </w:r>
      <w:r w:rsidR="00D00E9E">
        <w:t xml:space="preserve">. This </w:t>
      </w:r>
      <w:r w:rsidR="000A0DC5" w:rsidRPr="009F19BC">
        <w:t>allow</w:t>
      </w:r>
      <w:r w:rsidR="00D00E9E">
        <w:t>ed</w:t>
      </w:r>
      <w:r w:rsidRPr="009F19BC">
        <w:t xml:space="preserve"> the teachers and learners to shape the field of adult </w:t>
      </w:r>
      <w:r w:rsidR="006B1832" w:rsidRPr="009F19BC">
        <w:t xml:space="preserve">literacy and numeracy </w:t>
      </w:r>
      <w:r w:rsidRPr="009F19BC">
        <w:t xml:space="preserve">in Australia so that </w:t>
      </w:r>
      <w:r w:rsidRPr="009F19BC">
        <w:lastRenderedPageBreak/>
        <w:t xml:space="preserve">it centred on learner needs and holistic provision (McKenna &amp; Fitzpatrick 2005). </w:t>
      </w:r>
      <w:r w:rsidR="007F54F1" w:rsidRPr="009F19BC">
        <w:t xml:space="preserve">The </w:t>
      </w:r>
      <w:proofErr w:type="spellStart"/>
      <w:r w:rsidR="007F54F1" w:rsidRPr="009F19BC">
        <w:t>Kangan</w:t>
      </w:r>
      <w:proofErr w:type="spellEnd"/>
      <w:r w:rsidR="007F54F1" w:rsidRPr="009F19BC">
        <w:t xml:space="preserve"> review</w:t>
      </w:r>
      <w:r w:rsidRPr="009F19BC">
        <w:t xml:space="preserve"> also resulted in opportunities for teachers to be employed full-time with a title directly linked to literacy and numeracy</w:t>
      </w:r>
      <w:r w:rsidR="00D00E9E">
        <w:t xml:space="preserve"> —</w:t>
      </w:r>
      <w:r w:rsidRPr="009F19BC">
        <w:t xml:space="preserve"> a significant step toward</w:t>
      </w:r>
      <w:r w:rsidR="007F54F1" w:rsidRPr="009F19BC">
        <w:t>s</w:t>
      </w:r>
      <w:r w:rsidRPr="009F19BC">
        <w:t xml:space="preserve"> professionalising the field. </w:t>
      </w:r>
    </w:p>
    <w:p w:rsidR="00D00E9E" w:rsidRDefault="005E69B4" w:rsidP="009F19BC">
      <w:pPr>
        <w:pStyle w:val="Text"/>
      </w:pPr>
      <w:r w:rsidRPr="009F19BC">
        <w:t>This stage of adult literacy and numeracy provision in Australia could be describ</w:t>
      </w:r>
      <w:r w:rsidR="007F54F1" w:rsidRPr="009F19BC">
        <w:t>ed as a grass</w:t>
      </w:r>
      <w:r w:rsidRPr="009F19BC">
        <w:t xml:space="preserve">roots social movement, </w:t>
      </w:r>
      <w:r w:rsidR="007F54F1" w:rsidRPr="009F19BC">
        <w:t xml:space="preserve">one </w:t>
      </w:r>
      <w:r w:rsidRPr="009F19BC">
        <w:t>driven largely by student-centred holistic provision, with teachers basing the design of resources and t</w:t>
      </w:r>
      <w:r w:rsidR="007F54F1" w:rsidRPr="009F19BC">
        <w:t>he t</w:t>
      </w:r>
      <w:r w:rsidRPr="009F19BC">
        <w:t xml:space="preserve">eaching and learning activities on the learners’ needs. Brennan, Clark </w:t>
      </w:r>
      <w:r w:rsidR="006B1832" w:rsidRPr="009F19BC">
        <w:t xml:space="preserve">and </w:t>
      </w:r>
      <w:proofErr w:type="spellStart"/>
      <w:r w:rsidR="006B1832" w:rsidRPr="009F19BC">
        <w:t>Dymock</w:t>
      </w:r>
      <w:proofErr w:type="spellEnd"/>
      <w:r w:rsidRPr="009F19BC">
        <w:t xml:space="preserve"> (1989) found that most literature available at the time focused on advocacy issues. With neither regulated frameworks for delivery nor a body of literature informed by research, </w:t>
      </w:r>
      <w:r w:rsidR="006B1832" w:rsidRPr="009F19BC">
        <w:t xml:space="preserve">professional development </w:t>
      </w:r>
      <w:r w:rsidRPr="009F19BC">
        <w:t>centred on teachers’ immediate needs.</w:t>
      </w:r>
      <w:r w:rsidR="004A65CA" w:rsidRPr="009F19BC">
        <w:t xml:space="preserve"> </w:t>
      </w:r>
      <w:r w:rsidRPr="009F19BC">
        <w:t>In analysing articles in the Victorian Adult Literacy and Basic Education Council</w:t>
      </w:r>
      <w:r w:rsidR="006B1832" w:rsidRPr="009F19BC">
        <w:t xml:space="preserve"> (VALBEC)</w:t>
      </w:r>
      <w:r w:rsidR="007F54F1" w:rsidRPr="009F19BC">
        <w:t xml:space="preserve"> journal</w:t>
      </w:r>
      <w:r w:rsidRPr="009F19BC">
        <w:t xml:space="preserve"> during the 1970s and early 1980s, Campbell (2009) identified multiple approaches to teaching</w:t>
      </w:r>
      <w:r w:rsidR="007F54F1" w:rsidRPr="009F19BC">
        <w:t>,</w:t>
      </w:r>
      <w:r w:rsidRPr="009F19BC">
        <w:t xml:space="preserve"> based on different philosophies and pedagogies.</w:t>
      </w:r>
    </w:p>
    <w:p w:rsidR="00D00E9E" w:rsidRDefault="005E69B4" w:rsidP="009F19BC">
      <w:pPr>
        <w:pStyle w:val="Text"/>
      </w:pPr>
      <w:r w:rsidRPr="009F19BC">
        <w:t xml:space="preserve">In an era when the Australian </w:t>
      </w:r>
      <w:r w:rsidR="006B1832" w:rsidRPr="009F19BC">
        <w:t>literacy and numeracy</w:t>
      </w:r>
      <w:r w:rsidRPr="009F19BC">
        <w:t xml:space="preserve"> profession was defining itself, the work of Paulo Freire was influential, particularly following his Australian visit in the early 1970s (Osmond</w:t>
      </w:r>
      <w:r w:rsidR="004A65CA" w:rsidRPr="009F19BC">
        <w:t xml:space="preserve"> </w:t>
      </w:r>
      <w:r w:rsidR="00733955" w:rsidRPr="009F19BC">
        <w:t>2016</w:t>
      </w:r>
      <w:r w:rsidRPr="009F19BC">
        <w:t xml:space="preserve">; Yasukawa &amp; Black 2016; Campbell 2009; Johnston, Kelly &amp; Johnston 2001; </w:t>
      </w:r>
      <w:proofErr w:type="spellStart"/>
      <w:r w:rsidRPr="009F19BC">
        <w:t>Coben</w:t>
      </w:r>
      <w:proofErr w:type="spellEnd"/>
      <w:r w:rsidRPr="009F19BC">
        <w:t xml:space="preserve"> &amp; Chanda 2000). The mass literacy campaign model used by Freire makes literacy a community business rather than the domain of the </w:t>
      </w:r>
      <w:r w:rsidR="006B1832" w:rsidRPr="009F19BC">
        <w:t xml:space="preserve">literacy and numeracy </w:t>
      </w:r>
      <w:r w:rsidRPr="009F19BC">
        <w:t xml:space="preserve">specialist, so it is perhaps ironic that Freire’s philosophies were often adapted to underpin the ethos of the emerging profession. Freire’s influence can be seen in </w:t>
      </w:r>
      <w:r w:rsidR="00D00E9E">
        <w:t xml:space="preserve">the following </w:t>
      </w:r>
      <w:r w:rsidRPr="009F19BC">
        <w:t>teaching approac</w:t>
      </w:r>
      <w:r w:rsidR="00733955" w:rsidRPr="009F19BC">
        <w:t>hes</w:t>
      </w:r>
      <w:r w:rsidR="00D00E9E">
        <w:t>:</w:t>
      </w:r>
    </w:p>
    <w:p w:rsidR="00D00E9E" w:rsidRDefault="00733955" w:rsidP="00D00E9E">
      <w:pPr>
        <w:pStyle w:val="Text"/>
        <w:numPr>
          <w:ilvl w:val="0"/>
          <w:numId w:val="25"/>
        </w:numPr>
      </w:pPr>
      <w:r w:rsidRPr="009F19BC">
        <w:t>negotiated learning</w:t>
      </w:r>
    </w:p>
    <w:p w:rsidR="00D00E9E" w:rsidRDefault="005E69B4" w:rsidP="00D00E9E">
      <w:pPr>
        <w:pStyle w:val="Text"/>
        <w:numPr>
          <w:ilvl w:val="0"/>
          <w:numId w:val="25"/>
        </w:numPr>
      </w:pPr>
      <w:r w:rsidRPr="009F19BC">
        <w:t>teacher as facilitator (a</w:t>
      </w:r>
      <w:r w:rsidR="00733955" w:rsidRPr="009F19BC">
        <w:t>s opposed to teacher as expert)</w:t>
      </w:r>
    </w:p>
    <w:p w:rsidR="00D00E9E" w:rsidRDefault="005E69B4" w:rsidP="00D00E9E">
      <w:pPr>
        <w:pStyle w:val="Text"/>
        <w:numPr>
          <w:ilvl w:val="0"/>
          <w:numId w:val="25"/>
        </w:numPr>
      </w:pPr>
      <w:r w:rsidRPr="009F19BC">
        <w:t>drawing on the lived realit</w:t>
      </w:r>
      <w:r w:rsidR="00733955" w:rsidRPr="009F19BC">
        <w:t>ies and experiences of students</w:t>
      </w:r>
    </w:p>
    <w:p w:rsidR="00D00E9E" w:rsidRDefault="005E69B4" w:rsidP="00D00E9E">
      <w:pPr>
        <w:pStyle w:val="Text"/>
        <w:numPr>
          <w:ilvl w:val="0"/>
          <w:numId w:val="25"/>
        </w:numPr>
      </w:pPr>
      <w:r w:rsidRPr="009F19BC">
        <w:t>involving learners in goal setting and driving the content of learning</w:t>
      </w:r>
    </w:p>
    <w:p w:rsidR="005E69B4" w:rsidRPr="009F19BC" w:rsidRDefault="005E69B4" w:rsidP="00D00E9E">
      <w:pPr>
        <w:pStyle w:val="Text"/>
        <w:numPr>
          <w:ilvl w:val="0"/>
          <w:numId w:val="25"/>
        </w:numPr>
      </w:pPr>
      <w:proofErr w:type="gramStart"/>
      <w:r w:rsidRPr="009F19BC">
        <w:t>in</w:t>
      </w:r>
      <w:proofErr w:type="gramEnd"/>
      <w:r w:rsidRPr="009F19BC">
        <w:t xml:space="preserve"> the ‘concepts of emancipation and liberation prominent in the professional discourse for some decades’ (Osmond </w:t>
      </w:r>
      <w:r w:rsidR="00733955" w:rsidRPr="009F19BC">
        <w:t>2016</w:t>
      </w:r>
      <w:r w:rsidRPr="009F19BC">
        <w:t xml:space="preserve">). </w:t>
      </w:r>
    </w:p>
    <w:p w:rsidR="005E69B4" w:rsidRPr="009F19BC" w:rsidRDefault="005E69B4" w:rsidP="009F19BC">
      <w:pPr>
        <w:pStyle w:val="Text"/>
      </w:pPr>
      <w:r w:rsidRPr="009F19BC">
        <w:t>Although the National Board of Employment, Education and</w:t>
      </w:r>
      <w:r w:rsidRPr="009F19BC">
        <w:rPr>
          <w:rFonts w:eastAsiaTheme="minorHAnsi"/>
        </w:rPr>
        <w:t xml:space="preserve"> </w:t>
      </w:r>
      <w:r w:rsidR="007F54F1" w:rsidRPr="009F19BC">
        <w:t xml:space="preserve">Training </w:t>
      </w:r>
      <w:r w:rsidRPr="009F19BC">
        <w:t>in Australia reported that prior to the 1990s there ‘was little or no systematic professional development available for</w:t>
      </w:r>
      <w:r w:rsidR="00733955" w:rsidRPr="009F19BC">
        <w:t xml:space="preserve"> adult literacy teachers’ (</w:t>
      </w:r>
      <w:r w:rsidRPr="009F19BC">
        <w:t>1995, p.95)</w:t>
      </w:r>
      <w:r w:rsidR="00733955" w:rsidRPr="009F19BC">
        <w:t>,</w:t>
      </w:r>
      <w:r w:rsidRPr="009F19BC">
        <w:t xml:space="preserve"> those who have interviewed practitioners from the era paint a picture of dynam</w:t>
      </w:r>
      <w:r w:rsidR="007F54F1" w:rsidRPr="009F19BC">
        <w:t>ic professional development, which</w:t>
      </w:r>
      <w:r w:rsidRPr="009F19BC">
        <w:t xml:space="preserve"> grew out of practical experience and student needs, as identified by the teachers. The human</w:t>
      </w:r>
      <w:r w:rsidR="00733955" w:rsidRPr="009F19BC">
        <w:t>ist philosophy of education, which</w:t>
      </w:r>
      <w:r w:rsidRPr="009F19BC">
        <w:t xml:space="preserve"> generally underpinned </w:t>
      </w:r>
      <w:r w:rsidR="006B1832" w:rsidRPr="009F19BC">
        <w:t>literacy and numeracy</w:t>
      </w:r>
      <w:r w:rsidRPr="009F19BC">
        <w:t xml:space="preserve"> teaching in Australia at the time (</w:t>
      </w:r>
      <w:r w:rsidR="00733955" w:rsidRPr="009F19BC">
        <w:t>Osmond 2016</w:t>
      </w:r>
      <w:r w:rsidRPr="009F19BC">
        <w:t>)</w:t>
      </w:r>
      <w:r w:rsidR="00733955" w:rsidRPr="009F19BC">
        <w:t>,</w:t>
      </w:r>
      <w:r w:rsidRPr="009F19BC">
        <w:t xml:space="preserve"> is also evident in the manner in which practitioners shared the responsibility for educating each other by running workshops, sharing resources and contributing to publications coordinated by bodies such as </w:t>
      </w:r>
      <w:r w:rsidR="00733955" w:rsidRPr="009F19BC">
        <w:t>the Victorian Adult Literacy and Basic Education Council</w:t>
      </w:r>
      <w:r w:rsidRPr="009F19BC">
        <w:t>, NSW Adult Literacy Information Office (ALIO) and the Adult Education Resou</w:t>
      </w:r>
      <w:r w:rsidR="007F54F1" w:rsidRPr="009F19BC">
        <w:t xml:space="preserve">rce Information Service (ARIS; </w:t>
      </w:r>
      <w:r w:rsidRPr="009F19BC">
        <w:t xml:space="preserve">examples in </w:t>
      </w:r>
      <w:r w:rsidR="00733955" w:rsidRPr="009F19BC">
        <w:t>Osmond 2016</w:t>
      </w:r>
      <w:r w:rsidRPr="009F19BC">
        <w:t>; Campbell 2009; Hazell 2002; Johnston, Kelly &amp; Johnston 2001).</w:t>
      </w:r>
    </w:p>
    <w:p w:rsidR="005E69B4" w:rsidRPr="009F19BC" w:rsidRDefault="005E69B4" w:rsidP="009F19BC">
      <w:pPr>
        <w:pStyle w:val="Text"/>
      </w:pPr>
      <w:r w:rsidRPr="009F19BC">
        <w:t xml:space="preserve">In the late 1980s government and business interest in adult literacy was </w:t>
      </w:r>
      <w:r w:rsidR="00733955" w:rsidRPr="009F19BC">
        <w:t>sparked by the results of large-</w:t>
      </w:r>
      <w:r w:rsidRPr="009F19BC">
        <w:t>scale literacy surveys. In 1987 Canada conducted its first literacy survey called ‘Broken Words’</w:t>
      </w:r>
      <w:r w:rsidR="00733955" w:rsidRPr="009F19BC">
        <w:t>,</w:t>
      </w:r>
      <w:r w:rsidRPr="009F19BC">
        <w:t xml:space="preserve"> which revealed widespread literacy problems among the adult population. The results were met with ‘doubts and disbelief amongst policy makers and the general population </w:t>
      </w:r>
      <w:r w:rsidR="00733955" w:rsidRPr="009F19BC">
        <w:t>at the time’ (OECD 2011, pp.23—</w:t>
      </w:r>
      <w:r w:rsidRPr="009F19BC">
        <w:t xml:space="preserve">4). This was followed by further </w:t>
      </w:r>
      <w:r w:rsidRPr="009F19BC">
        <w:lastRenderedPageBreak/>
        <w:t>national litera</w:t>
      </w:r>
      <w:r w:rsidR="00733955" w:rsidRPr="009F19BC">
        <w:t>cy surveys in Canada and the US,</w:t>
      </w:r>
      <w:r w:rsidRPr="009F19BC">
        <w:t xml:space="preserve"> which created international interest in adult literacy levels. Subsequently</w:t>
      </w:r>
      <w:r w:rsidR="007F54F1" w:rsidRPr="009F19BC">
        <w:t>,</w:t>
      </w:r>
      <w:r w:rsidRPr="009F19BC">
        <w:t xml:space="preserve"> an Australia adult literacy action campaign was implemented in 1987 and included a national survey of adult literacy, reported in </w:t>
      </w:r>
      <w:r w:rsidRPr="00D00E9E">
        <w:rPr>
          <w:i/>
        </w:rPr>
        <w:t>No single measure</w:t>
      </w:r>
      <w:r w:rsidRPr="009F19BC">
        <w:t xml:space="preserve"> (</w:t>
      </w:r>
      <w:proofErr w:type="spellStart"/>
      <w:r w:rsidRPr="009F19BC">
        <w:t>Wickert</w:t>
      </w:r>
      <w:proofErr w:type="spellEnd"/>
      <w:r w:rsidRPr="009F19BC">
        <w:t xml:space="preserve"> 1989). The title of the report was significant in communicating the view that literacy was a complex concept and that there was no single process or tool that could measure an adult’s literacy. </w:t>
      </w:r>
    </w:p>
    <w:p w:rsidR="005E69B4" w:rsidRPr="009F19BC" w:rsidRDefault="005E69B4" w:rsidP="009F19BC">
      <w:pPr>
        <w:pStyle w:val="Text"/>
      </w:pPr>
      <w:r w:rsidRPr="009F19BC">
        <w:t xml:space="preserve">The focus on adult </w:t>
      </w:r>
      <w:r w:rsidR="00980B2F" w:rsidRPr="009F19BC">
        <w:t xml:space="preserve">literacy and numeracy </w:t>
      </w:r>
      <w:r w:rsidRPr="009F19BC">
        <w:t>created demand for trained teachers to work in a range of programs in the 1990s (Johnston, Kelly &amp; Johnston 2001). The Coordinating Agency for the Training of Adult Literacy Personnel in Australia was granted $4.5 million annually for three years from 1990 to expand provision and provide the opportunity for planned professional development (Ryan 1991). The</w:t>
      </w:r>
      <w:r w:rsidR="001066C1" w:rsidRPr="009F19BC">
        <w:t xml:space="preserve"> </w:t>
      </w:r>
      <w:r w:rsidRPr="009F19BC">
        <w:t>Training Guarantee Act</w:t>
      </w:r>
      <w:r w:rsidR="001066C1" w:rsidRPr="009F19BC">
        <w:t xml:space="preserve"> 1990 </w:t>
      </w:r>
      <w:r w:rsidRPr="009F19BC">
        <w:t>led to a competitive system of public and private providers tendering for federal education grants (</w:t>
      </w:r>
      <w:proofErr w:type="spellStart"/>
      <w:r w:rsidRPr="009F19BC">
        <w:t>Ke</w:t>
      </w:r>
      <w:r w:rsidR="006B1832" w:rsidRPr="009F19BC">
        <w:t>ll</w:t>
      </w:r>
      <w:proofErr w:type="spellEnd"/>
      <w:r w:rsidR="006B1832" w:rsidRPr="009F19BC">
        <w:t xml:space="preserve">, </w:t>
      </w:r>
      <w:proofErr w:type="spellStart"/>
      <w:r w:rsidR="006B1832" w:rsidRPr="009F19BC">
        <w:t>Balatti</w:t>
      </w:r>
      <w:proofErr w:type="spellEnd"/>
      <w:r w:rsidR="006B1832" w:rsidRPr="009F19BC">
        <w:t xml:space="preserve">, &amp; </w:t>
      </w:r>
      <w:proofErr w:type="spellStart"/>
      <w:r w:rsidR="006B1832" w:rsidRPr="009F19BC">
        <w:t>Muspratt</w:t>
      </w:r>
      <w:proofErr w:type="spellEnd"/>
      <w:r w:rsidR="006B1832" w:rsidRPr="009F19BC">
        <w:t xml:space="preserve"> 1997). </w:t>
      </w:r>
      <w:r w:rsidRPr="009F19BC">
        <w:t xml:space="preserve">For the </w:t>
      </w:r>
      <w:r w:rsidR="00980B2F" w:rsidRPr="009F19BC">
        <w:t>literacy and numeracy</w:t>
      </w:r>
      <w:r w:rsidRPr="009F19BC">
        <w:t xml:space="preserve"> workforce this created different employment opportunities as new providers entered the ‘market’. L</w:t>
      </w:r>
      <w:r w:rsidR="00D259B1" w:rsidRPr="009F19BC">
        <w:t>iteracy and numeracy</w:t>
      </w:r>
      <w:r w:rsidRPr="009F19BC">
        <w:t xml:space="preserve"> teachers required professional development aimed at creating ‘a repertoire of skills quite different from those associated with traditional roles of teaching’ (</w:t>
      </w:r>
      <w:proofErr w:type="spellStart"/>
      <w:r w:rsidRPr="009F19BC">
        <w:t>Kell</w:t>
      </w:r>
      <w:proofErr w:type="spellEnd"/>
      <w:r w:rsidRPr="009F19BC">
        <w:t xml:space="preserve"> 1998, p.23). For example, during 1991―92 the role of Australian adult </w:t>
      </w:r>
      <w:r w:rsidR="00980B2F" w:rsidRPr="009F19BC">
        <w:t>literacy and numeracy</w:t>
      </w:r>
      <w:r w:rsidRPr="009F19BC">
        <w:t xml:space="preserve"> teachers expanded to include regulated formal workplace training through the Workplace English Language and Literacy (WELL) program. This meant teachers had to develop, deliver and assess customised workplace training and resources</w:t>
      </w:r>
      <w:r w:rsidR="00FF6087">
        <w:t>,</w:t>
      </w:r>
      <w:r w:rsidRPr="009F19BC">
        <w:t xml:space="preserve"> and implement strategic initiatives for industry-wide projects and programs (Misko 2006; </w:t>
      </w:r>
      <w:proofErr w:type="spellStart"/>
      <w:r w:rsidRPr="009F19BC">
        <w:t>Berghella</w:t>
      </w:r>
      <w:proofErr w:type="spellEnd"/>
      <w:r w:rsidRPr="009F19BC">
        <w:t xml:space="preserve">, </w:t>
      </w:r>
      <w:proofErr w:type="spellStart"/>
      <w:r w:rsidRPr="009F19BC">
        <w:t>Molenaar</w:t>
      </w:r>
      <w:proofErr w:type="spellEnd"/>
      <w:r w:rsidRPr="009F19BC">
        <w:t xml:space="preserve"> &amp; Wyse 2006). Resources, workshops and networks were implemented to train staff throughout the lifetime of the program (up until 2015 when the final WELL projects were phased out).</w:t>
      </w:r>
    </w:p>
    <w:p w:rsidR="005E69B4" w:rsidRPr="009F19BC" w:rsidRDefault="005E69B4" w:rsidP="009F19BC">
      <w:pPr>
        <w:pStyle w:val="Text"/>
      </w:pPr>
      <w:r w:rsidRPr="009F19BC">
        <w:t xml:space="preserve">The growing national focus on literacy for work changed the nature of professional development. Government bodies and employers of </w:t>
      </w:r>
      <w:r w:rsidR="00D259B1" w:rsidRPr="009F19BC">
        <w:t>literacy and numeracy</w:t>
      </w:r>
      <w:r w:rsidRPr="009F19BC">
        <w:t xml:space="preserve"> practitioners increasingly recognised the potential of investing in </w:t>
      </w:r>
      <w:r w:rsidR="00980B2F" w:rsidRPr="009F19BC">
        <w:t>literacy and numeracy</w:t>
      </w:r>
      <w:r w:rsidRPr="009F19BC">
        <w:t xml:space="preserve"> development and directing the types of training given to and required by </w:t>
      </w:r>
      <w:r w:rsidR="00980B2F" w:rsidRPr="009F19BC">
        <w:t>literacy and numeracy</w:t>
      </w:r>
      <w:r w:rsidRPr="009F19BC">
        <w:t xml:space="preserve"> professionals. For example, the 1993 National Collaborative Adult English Language and Literacy Strategy resulted in </w:t>
      </w:r>
      <w:r w:rsidR="00D259B1" w:rsidRPr="009F19BC">
        <w:t>professional development</w:t>
      </w:r>
      <w:r w:rsidRPr="009F19BC">
        <w:t xml:space="preserve"> ‘to train specialists in writing integrated curriculum’ (</w:t>
      </w:r>
      <w:proofErr w:type="spellStart"/>
      <w:r w:rsidRPr="009F19BC">
        <w:t>Kell</w:t>
      </w:r>
      <w:proofErr w:type="spellEnd"/>
      <w:r w:rsidRPr="009F19BC">
        <w:t xml:space="preserve"> 1998, p.17) and the 1993 National Framework for Professional Development of Adult Literacy and Basic Education Personnel provided a nationally consistent approach to professional development (Misko 2006). The </w:t>
      </w:r>
      <w:r w:rsidR="00D259B1" w:rsidRPr="009F19BC">
        <w:t>professional development</w:t>
      </w:r>
      <w:r w:rsidRPr="009F19BC">
        <w:t xml:space="preserve"> was underpinned by </w:t>
      </w:r>
      <w:r w:rsidR="001066C1" w:rsidRPr="009F19BC">
        <w:t>13</w:t>
      </w:r>
      <w:r w:rsidRPr="009F19BC">
        <w:t xml:space="preserve"> principles</w:t>
      </w:r>
      <w:r w:rsidR="007F54F1" w:rsidRPr="009F19BC">
        <w:t>,</w:t>
      </w:r>
      <w:r w:rsidRPr="009F19BC">
        <w:t xml:space="preserve"> based on the main features of the vocational education and training (VET) environment, such as competency-based training, with the aim of expanding</w:t>
      </w:r>
      <w:r w:rsidR="00D259B1" w:rsidRPr="009F19BC">
        <w:t xml:space="preserve"> literacy and numeracy</w:t>
      </w:r>
      <w:r w:rsidRPr="009F19BC">
        <w:t xml:space="preserve"> in VET via its integration into competencies (Misko 2006). </w:t>
      </w:r>
    </w:p>
    <w:p w:rsidR="005E69B4" w:rsidRPr="009F19BC" w:rsidRDefault="005E69B4" w:rsidP="009F19BC">
      <w:pPr>
        <w:pStyle w:val="Text"/>
      </w:pPr>
      <w:r w:rsidRPr="009F19BC">
        <w:t xml:space="preserve">Another program which increased the demand for trained </w:t>
      </w:r>
      <w:r w:rsidR="00D259B1" w:rsidRPr="009F19BC">
        <w:t>literacy and numeracy</w:t>
      </w:r>
      <w:r w:rsidRPr="009F19BC">
        <w:t xml:space="preserve"> teachers and required specific methods of assessing, and therefore </w:t>
      </w:r>
      <w:r w:rsidR="00D259B1" w:rsidRPr="009F19BC">
        <w:t>professional development</w:t>
      </w:r>
      <w:r w:rsidRPr="009F19BC">
        <w:t xml:space="preserve">, was the 1998 Literacy and Numeracy Program (LANT). </w:t>
      </w:r>
      <w:r w:rsidR="001066C1" w:rsidRPr="009F19BC">
        <w:t>This program</w:t>
      </w:r>
      <w:r w:rsidRPr="009F19BC">
        <w:t xml:space="preserve"> brought a new cohort to classes ― those in long-term unemployment and in receipt of unemployment benefits, who were required under the </w:t>
      </w:r>
      <w:r w:rsidR="001066C1" w:rsidRPr="009F19BC">
        <w:t>Australian</w:t>
      </w:r>
      <w:r w:rsidRPr="009F19BC">
        <w:t xml:space="preserve"> Government’s mutual obligation programs to study with the aim of developing their </w:t>
      </w:r>
      <w:r w:rsidR="006B1832" w:rsidRPr="009F19BC">
        <w:t>literacy and numeracy</w:t>
      </w:r>
      <w:r w:rsidRPr="009F19BC">
        <w:t xml:space="preserve"> skills to improve access to further training and work (Misko 2006; Searle 2004). In 2002 </w:t>
      </w:r>
      <w:r w:rsidR="001066C1" w:rsidRPr="009F19BC">
        <w:t>the Literacy and Numeracy Program</w:t>
      </w:r>
      <w:r w:rsidRPr="009F19BC">
        <w:t xml:space="preserve"> was superseded by the Language, Literacy and Numeracy Program (L</w:t>
      </w:r>
      <w:r w:rsidR="00D259B1" w:rsidRPr="009F19BC">
        <w:t>LN</w:t>
      </w:r>
      <w:r w:rsidRPr="009F19BC">
        <w:t>P)</w:t>
      </w:r>
      <w:r w:rsidR="001066C1" w:rsidRPr="009F19BC">
        <w:t>, in which</w:t>
      </w:r>
      <w:r w:rsidRPr="009F19BC">
        <w:t xml:space="preserve"> LANT and the Advanced English for Migrants Program were amalgamated. English language and </w:t>
      </w:r>
      <w:r w:rsidR="006B1832" w:rsidRPr="009F19BC">
        <w:t>literacy and numeracy</w:t>
      </w:r>
      <w:r w:rsidRPr="009F19BC">
        <w:t xml:space="preserve"> were combined in government documentation for expediency and to ‘provide a more integrated management approach’ (</w:t>
      </w:r>
      <w:r w:rsidR="00D259B1" w:rsidRPr="009F19BC">
        <w:t>ACIL</w:t>
      </w:r>
      <w:r w:rsidRPr="009F19BC">
        <w:t xml:space="preserve"> Allen Consulting 2015). </w:t>
      </w:r>
      <w:r w:rsidRPr="009F19BC">
        <w:lastRenderedPageBreak/>
        <w:t>Practitioners were required to pre- and post-assess student performances in literacy and numeracy against the National Reporting System (NRS). Acceptable student outcomes were determined by the highly regulated program contract, which required teachers to closely monito</w:t>
      </w:r>
      <w:r w:rsidR="002B5568" w:rsidRPr="009F19BC">
        <w:t>r and report measurable gains. ‘</w:t>
      </w:r>
      <w:r w:rsidRPr="009F19BC">
        <w:t xml:space="preserve">Soft’ outcomes such as increased self-esteem and social and community participation, which had been important aims of </w:t>
      </w:r>
      <w:r w:rsidR="006B1832" w:rsidRPr="009F19BC">
        <w:t>literacy and numeracy</w:t>
      </w:r>
      <w:r w:rsidRPr="009F19BC">
        <w:t xml:space="preserve"> delivery in the 1970s and 1980s, did not count for the purposes of meeting the contract requirements. Record keeping was central to the delivery process (Misko 2006), increasing the need for teacher training in both organisational processes and in assessing and measuring the </w:t>
      </w:r>
      <w:r w:rsidR="006B1832" w:rsidRPr="009F19BC">
        <w:t>literacy and numeracy</w:t>
      </w:r>
      <w:r w:rsidRPr="009F19BC">
        <w:t xml:space="preserve"> outcomes defined by the </w:t>
      </w:r>
      <w:r w:rsidR="001066C1" w:rsidRPr="009F19BC">
        <w:t>N</w:t>
      </w:r>
      <w:r w:rsidR="00CA6623">
        <w:t>RS</w:t>
      </w:r>
      <w:r w:rsidR="007F54F1" w:rsidRPr="009F19BC">
        <w:t>. (I</w:t>
      </w:r>
      <w:r w:rsidRPr="009F19BC">
        <w:t xml:space="preserve">n 2013 </w:t>
      </w:r>
      <w:r w:rsidR="001066C1" w:rsidRPr="009F19BC">
        <w:t>the Language, Literacy and Numeracy Program</w:t>
      </w:r>
      <w:r w:rsidRPr="009F19BC">
        <w:t xml:space="preserve"> was superseded by Skil</w:t>
      </w:r>
      <w:r w:rsidR="00FF6087">
        <w:t>ls for Education and Employment</w:t>
      </w:r>
      <w:r w:rsidR="007F54F1" w:rsidRPr="009F19BC">
        <w:t>.)</w:t>
      </w:r>
    </w:p>
    <w:p w:rsidR="005E69B4" w:rsidRPr="009F19BC" w:rsidRDefault="005E69B4" w:rsidP="009F19BC">
      <w:pPr>
        <w:pStyle w:val="Text"/>
      </w:pPr>
      <w:r w:rsidRPr="009F19BC">
        <w:t xml:space="preserve">The introduction of formalised training structures required further </w:t>
      </w:r>
      <w:r w:rsidR="00D259B1" w:rsidRPr="009F19BC">
        <w:t>professional development</w:t>
      </w:r>
      <w:r w:rsidRPr="009F19BC">
        <w:t xml:space="preserve"> for the </w:t>
      </w:r>
      <w:r w:rsidR="00D259B1" w:rsidRPr="009F19BC">
        <w:t>literacy and numeracy</w:t>
      </w:r>
      <w:r w:rsidRPr="009F19BC">
        <w:t xml:space="preserve"> workforce. For example, the introduction in Victoria in 1993 of an accredited course, the Certificate in General Education for Adults (CGEA), created a model through which teaching was to be approached, with four domains as the focus of learning. </w:t>
      </w:r>
      <w:r w:rsidR="00D259B1" w:rsidRPr="009F19BC">
        <w:t>Professional development</w:t>
      </w:r>
      <w:r w:rsidRPr="009F19BC">
        <w:t xml:space="preserve"> was required to train teachers to fulfil </w:t>
      </w:r>
      <w:r w:rsidR="001066C1" w:rsidRPr="009F19BC">
        <w:t xml:space="preserve">the </w:t>
      </w:r>
      <w:r w:rsidRPr="009F19BC">
        <w:t xml:space="preserve">regulatory requirements of the CGEA, such as participation in moderation sessions (Campbell 2009). Campbell explains that many in the </w:t>
      </w:r>
      <w:r w:rsidR="00D259B1" w:rsidRPr="009F19BC">
        <w:t>literacy and numeracy</w:t>
      </w:r>
      <w:r w:rsidRPr="009F19BC">
        <w:t xml:space="preserve"> workforce perceived accredited curricula as a change in the pedagogical understandings they required because it moved delivery from learner-centred to course-centred. There was a perception that teachers’ work was being ‘filtered through different regulatory practices, and exercised through the demands of funding agreements and accountability measures’ (Campbell 2009, p.18). This grew from what McCormack (2016) identifies as a conflict in the perception of literacy: practitioners were focused on holistic literacy develo</w:t>
      </w:r>
      <w:r w:rsidR="001066C1" w:rsidRPr="009F19BC">
        <w:t>pment while</w:t>
      </w:r>
      <w:r w:rsidRPr="009F19BC">
        <w:t xml:space="preserve"> policy-makers saw adult literacy only in a workplace context.</w:t>
      </w:r>
    </w:p>
    <w:p w:rsidR="005E69B4" w:rsidRPr="009F19BC" w:rsidRDefault="00FF6087" w:rsidP="009F19BC">
      <w:pPr>
        <w:pStyle w:val="Text"/>
      </w:pPr>
      <w:r>
        <w:t>I</w:t>
      </w:r>
      <w:r w:rsidRPr="009F19BC">
        <w:t>n</w:t>
      </w:r>
      <w:r>
        <w:t xml:space="preserve"> Australia in</w:t>
      </w:r>
      <w:r w:rsidRPr="009F19BC">
        <w:t xml:space="preserve"> the 1990s </w:t>
      </w:r>
      <w:r>
        <w:t>there was</w:t>
      </w:r>
      <w:r w:rsidR="005E69B4" w:rsidRPr="009F19BC">
        <w:t xml:space="preserve"> no uniform qualific</w:t>
      </w:r>
      <w:r w:rsidR="00D259B1" w:rsidRPr="009F19BC">
        <w:t xml:space="preserve">ation recognised as defining </w:t>
      </w:r>
      <w:proofErr w:type="gramStart"/>
      <w:r w:rsidR="00D259B1" w:rsidRPr="009F19BC">
        <w:t>a literacy</w:t>
      </w:r>
      <w:proofErr w:type="gramEnd"/>
      <w:r w:rsidR="00D259B1" w:rsidRPr="009F19BC">
        <w:t xml:space="preserve"> and numeracy </w:t>
      </w:r>
      <w:r w:rsidR="005E69B4" w:rsidRPr="009F19BC">
        <w:t>practitioner</w:t>
      </w:r>
      <w:r>
        <w:t>,</w:t>
      </w:r>
      <w:r w:rsidR="005E69B4" w:rsidRPr="009F19BC">
        <w:t xml:space="preserve"> and no agree</w:t>
      </w:r>
      <w:r w:rsidR="002B5568" w:rsidRPr="009F19BC">
        <w:t xml:space="preserve">d concept of what constituted </w:t>
      </w:r>
      <w:r>
        <w:t>one</w:t>
      </w:r>
      <w:r w:rsidR="007F54F1" w:rsidRPr="009F19BC">
        <w:t>. The s</w:t>
      </w:r>
      <w:r w:rsidR="005E69B4" w:rsidRPr="009F19BC">
        <w:t xml:space="preserve">ettings in which adult </w:t>
      </w:r>
      <w:r w:rsidR="006B1832" w:rsidRPr="009F19BC">
        <w:t>literacy and numeracy</w:t>
      </w:r>
      <w:r w:rsidR="005E69B4" w:rsidRPr="009F19BC">
        <w:t xml:space="preserve"> practitioners worked were diverse and required varying skill sets and levels of qualification. Workplaces in which </w:t>
      </w:r>
      <w:r w:rsidR="00D259B1" w:rsidRPr="009F19BC">
        <w:t>literacy and numeracy</w:t>
      </w:r>
      <w:r w:rsidR="005E69B4" w:rsidRPr="009F19BC">
        <w:t xml:space="preserve"> practitioners operated included TAFE</w:t>
      </w:r>
      <w:r w:rsidR="00CA6623">
        <w:t xml:space="preserve"> institutes</w:t>
      </w:r>
      <w:r w:rsidR="005E69B4" w:rsidRPr="009F19BC">
        <w:t>, community settings, workplaces, prisons, Aboriginal communities, neighbourhood houses, senior colleges and evening colleges (</w:t>
      </w:r>
      <w:proofErr w:type="spellStart"/>
      <w:r w:rsidR="005E69B4" w:rsidRPr="009F19BC">
        <w:t>Scheeres</w:t>
      </w:r>
      <w:proofErr w:type="spellEnd"/>
      <w:r w:rsidR="005E69B4" w:rsidRPr="009F19BC">
        <w:t xml:space="preserve"> et al. 1993).</w:t>
      </w:r>
      <w:r w:rsidR="004A65CA" w:rsidRPr="009F19BC">
        <w:t xml:space="preserve"> </w:t>
      </w:r>
      <w:proofErr w:type="spellStart"/>
      <w:r w:rsidR="005E69B4" w:rsidRPr="009F19BC">
        <w:t>Scheeres</w:t>
      </w:r>
      <w:proofErr w:type="spellEnd"/>
      <w:r w:rsidR="005E69B4" w:rsidRPr="009F19BC">
        <w:t xml:space="preserve"> et al. (1993) undertook research to define the </w:t>
      </w:r>
      <w:r w:rsidR="00D259B1" w:rsidRPr="009F19BC">
        <w:t>literacy and numeracy</w:t>
      </w:r>
      <w:r w:rsidR="005E69B4" w:rsidRPr="009F19BC">
        <w:t xml:space="preserve"> workforce</w:t>
      </w:r>
      <w:r w:rsidR="007F54F1" w:rsidRPr="009F19BC">
        <w:t>, the aim being</w:t>
      </w:r>
      <w:r w:rsidR="005E69B4" w:rsidRPr="009F19BC">
        <w:t xml:space="preserve"> to inform the development of </w:t>
      </w:r>
      <w:r w:rsidR="00D259B1" w:rsidRPr="009F19BC">
        <w:t>literacy and numeracy</w:t>
      </w:r>
      <w:r w:rsidR="005E69B4" w:rsidRPr="009F19BC">
        <w:t xml:space="preserve"> staff training courses, including higher education courses. Their comprehensive analysis was a result of workshops, interviews, observations, reference to job descriptions, and consultations with members of the profession and other researchers. They described the workforce as practitioners rather tha</w:t>
      </w:r>
      <w:r w:rsidR="001066C1" w:rsidRPr="009F19BC">
        <w:t>n teachers because of the multi</w:t>
      </w:r>
      <w:r w:rsidR="007F54F1" w:rsidRPr="009F19BC">
        <w:t>faceted roles the teachers</w:t>
      </w:r>
      <w:r w:rsidR="00CA6623">
        <w:t xml:space="preserve"> undertook. They </w:t>
      </w:r>
      <w:r w:rsidR="005E69B4" w:rsidRPr="009F19BC">
        <w:t>emphasised the need for professional qualifications based on their findings</w:t>
      </w:r>
      <w:r w:rsidR="001066C1" w:rsidRPr="009F19BC">
        <w:t>:</w:t>
      </w:r>
      <w:r w:rsidR="005E69B4" w:rsidRPr="009F19BC">
        <w:t xml:space="preserve"> that the role of </w:t>
      </w:r>
      <w:r w:rsidR="00D259B1" w:rsidRPr="009F19BC">
        <w:t>literacy and numeracy</w:t>
      </w:r>
      <w:r w:rsidR="005E69B4" w:rsidRPr="009F19BC">
        <w:t xml:space="preserve"> practitioner combined theoretical understandi</w:t>
      </w:r>
      <w:r w:rsidR="001066C1" w:rsidRPr="009F19BC">
        <w:t>ngs, content knowledge and high-</w:t>
      </w:r>
      <w:r w:rsidR="005E69B4" w:rsidRPr="009F19BC">
        <w:t>level communication and organisational skills (</w:t>
      </w:r>
      <w:proofErr w:type="spellStart"/>
      <w:r w:rsidR="005E69B4" w:rsidRPr="009F19BC">
        <w:t>Scheeres</w:t>
      </w:r>
      <w:proofErr w:type="spellEnd"/>
      <w:r w:rsidR="005E69B4" w:rsidRPr="009F19BC">
        <w:t xml:space="preserve"> et al. 1993).</w:t>
      </w:r>
    </w:p>
    <w:p w:rsidR="005E69B4" w:rsidRPr="009F19BC" w:rsidRDefault="005E69B4" w:rsidP="009F19BC">
      <w:pPr>
        <w:pStyle w:val="Text"/>
      </w:pPr>
      <w:r w:rsidRPr="009F19BC">
        <w:t xml:space="preserve">In 1995 the </w:t>
      </w:r>
      <w:r w:rsidR="001066C1" w:rsidRPr="009F19BC">
        <w:t>National Reporting System</w:t>
      </w:r>
      <w:r w:rsidRPr="009F19BC">
        <w:t xml:space="preserve"> further changed the teaching environment and created more teacher-training needs. The NRS was the first Australian national measure of language, literacy and numeracy and was to provide a common language and framework for </w:t>
      </w:r>
      <w:r w:rsidR="007F54F1" w:rsidRPr="009F19BC">
        <w:t xml:space="preserve">the </w:t>
      </w:r>
      <w:r w:rsidRPr="009F19BC">
        <w:t>assessment and delivery of funded training where measured outcomes were required</w:t>
      </w:r>
      <w:r w:rsidR="001066C1" w:rsidRPr="009F19BC">
        <w:t>. (I</w:t>
      </w:r>
      <w:r w:rsidRPr="009F19BC">
        <w:t>n recent years it has been superseded by versions of the Australian Core Skills Framework</w:t>
      </w:r>
      <w:r w:rsidR="001066C1" w:rsidRPr="009F19BC">
        <w:t>.)</w:t>
      </w:r>
      <w:r w:rsidRPr="009F19BC">
        <w:t xml:space="preserve"> </w:t>
      </w:r>
      <w:r w:rsidRPr="009F19BC">
        <w:lastRenderedPageBreak/>
        <w:t xml:space="preserve">As </w:t>
      </w:r>
      <w:r w:rsidR="00D259B1" w:rsidRPr="009F19BC">
        <w:t>literacy and numeracy</w:t>
      </w:r>
      <w:r w:rsidRPr="009F19BC">
        <w:t xml:space="preserve"> practice in Australia moved closer to an outcome-focused model, where mechanisms such as the </w:t>
      </w:r>
      <w:r w:rsidR="001066C1" w:rsidRPr="009F19BC">
        <w:t>National Reporting System</w:t>
      </w:r>
      <w:r w:rsidRPr="009F19BC">
        <w:t xml:space="preserve">, accredited curricula and training packages directed and quantified student learning, multifaceted professional development was required. </w:t>
      </w:r>
      <w:r w:rsidR="00CA6623">
        <w:t>T</w:t>
      </w:r>
      <w:r w:rsidRPr="009F19BC">
        <w:t xml:space="preserve">he </w:t>
      </w:r>
      <w:r w:rsidR="00D259B1" w:rsidRPr="009F19BC">
        <w:t>literacy and numeracy</w:t>
      </w:r>
      <w:r w:rsidRPr="009F19BC">
        <w:t xml:space="preserve"> profession needed </w:t>
      </w:r>
      <w:r w:rsidR="00CA6623">
        <w:t xml:space="preserve">both </w:t>
      </w:r>
      <w:r w:rsidRPr="009F19BC">
        <w:t>ongoing training and skill development in literacy and numeracy teaching methodologies and theory</w:t>
      </w:r>
      <w:r w:rsidR="001066C1" w:rsidRPr="009F19BC">
        <w:t>,</w:t>
      </w:r>
      <w:r w:rsidRPr="009F19BC">
        <w:t xml:space="preserve"> a</w:t>
      </w:r>
      <w:r w:rsidR="00CA6623">
        <w:t>s well as</w:t>
      </w:r>
      <w:r w:rsidRPr="009F19BC">
        <w:t xml:space="preserve"> training in delivery structures and the bureaucracy associated with the educational environment in which they worked.</w:t>
      </w:r>
    </w:p>
    <w:p w:rsidR="005E69B4" w:rsidRPr="009F19BC" w:rsidRDefault="005E69B4" w:rsidP="009F19BC">
      <w:pPr>
        <w:pStyle w:val="Text"/>
      </w:pPr>
      <w:r w:rsidRPr="009F19BC">
        <w:t xml:space="preserve">In response to a direction from the Commonwealth Minister for Employment, Education and Training, </w:t>
      </w:r>
      <w:r w:rsidR="001066C1" w:rsidRPr="009F19BC">
        <w:t>the National Board of Employment, Education and Training</w:t>
      </w:r>
      <w:r w:rsidRPr="009F19BC">
        <w:t xml:space="preserve"> investigated </w:t>
      </w:r>
      <w:r w:rsidR="007F54F1" w:rsidRPr="009F19BC">
        <w:t>the</w:t>
      </w:r>
      <w:r w:rsidRPr="009F19BC">
        <w:t xml:space="preserve"> strategies </w:t>
      </w:r>
      <w:r w:rsidR="007F54F1" w:rsidRPr="009F19BC">
        <w:t>that should</w:t>
      </w:r>
      <w:r w:rsidRPr="009F19BC">
        <w:t xml:space="preserve"> be in place to provide quality delivery of literacy teacher education by t</w:t>
      </w:r>
      <w:r w:rsidR="001066C1" w:rsidRPr="009F19BC">
        <w:t>he year 2000 (</w:t>
      </w:r>
      <w:r w:rsidR="00D259B1" w:rsidRPr="009F19BC">
        <w:t xml:space="preserve">1995, p.5). </w:t>
      </w:r>
      <w:r w:rsidR="001066C1" w:rsidRPr="009F19BC">
        <w:t>The board</w:t>
      </w:r>
      <w:r w:rsidRPr="009F19BC">
        <w:t xml:space="preserve"> described adult literacy as moving from a field based upon social justice imperatives, to one operating under an environment of economic accountability: ‘career pathways for teachers of literacy should be explicit ― not just for the benefit of teachers themselves, but to improve the quality of their teaching’ (</w:t>
      </w:r>
      <w:r w:rsidR="00BF220E" w:rsidRPr="009F19BC">
        <w:t>National Board of Employment, Education and Training</w:t>
      </w:r>
      <w:r w:rsidRPr="009F19BC">
        <w:t xml:space="preserve"> 1995, p.48). The report discussed the need for opportunities for </w:t>
      </w:r>
      <w:r w:rsidR="00D259B1" w:rsidRPr="009F19BC">
        <w:t>professional development</w:t>
      </w:r>
      <w:r w:rsidRPr="009F19BC">
        <w:t xml:space="preserve"> throughout the lifetime of </w:t>
      </w:r>
      <w:r w:rsidR="00BF220E" w:rsidRPr="009F19BC">
        <w:t>a</w:t>
      </w:r>
      <w:r w:rsidRPr="009F19BC">
        <w:t xml:space="preserve"> practitioner’s career, with an emphasis on the need to develop new skills related to changing technology, delivery structures and new theoretical and practical understandings (</w:t>
      </w:r>
      <w:proofErr w:type="spellStart"/>
      <w:r w:rsidRPr="009F19BC">
        <w:t>Wickert</w:t>
      </w:r>
      <w:proofErr w:type="spellEnd"/>
      <w:r w:rsidRPr="009F19BC">
        <w:t xml:space="preserve"> et al. 1994</w:t>
      </w:r>
      <w:r w:rsidR="007F54F1" w:rsidRPr="009F19BC">
        <w:t>,</w:t>
      </w:r>
      <w:r w:rsidRPr="009F19BC">
        <w:t xml:space="preserve"> in </w:t>
      </w:r>
      <w:r w:rsidR="00BF220E" w:rsidRPr="009F19BC">
        <w:t>National Board of Employment, Education and Training</w:t>
      </w:r>
      <w:r w:rsidRPr="009F19BC">
        <w:t xml:space="preserve"> 1995). The overall theme of the report was that professional development for literacy practitioners was inadequate. The </w:t>
      </w:r>
      <w:r w:rsidR="00CA6623">
        <w:t>lack</w:t>
      </w:r>
      <w:r w:rsidRPr="009F19BC">
        <w:t xml:space="preserve"> of opportunities was linked to the employment status of the workforce: </w:t>
      </w:r>
      <w:proofErr w:type="spellStart"/>
      <w:r w:rsidRPr="009F19BC">
        <w:t>casualisation</w:t>
      </w:r>
      <w:proofErr w:type="spellEnd"/>
      <w:r w:rsidRPr="009F19BC">
        <w:t>, part-time employment and employment contingent on funding, which was often short-term and did not create an environment where employers were committed to developing the existing skills of the workforce. Often professional development opportunities were negotiated and funded by the practitioners themselves, a situation described as leading to ‘feelings of exploitation and resentment that are conducive neither to morale nor good teaching practices’ (</w:t>
      </w:r>
      <w:r w:rsidR="00BF220E" w:rsidRPr="009F19BC">
        <w:t xml:space="preserve">National Board of Employment, Education and Training </w:t>
      </w:r>
      <w:r w:rsidRPr="009F19BC">
        <w:t xml:space="preserve">1995, p.51). The report called for defined, accountable and transparent understandings of the </w:t>
      </w:r>
      <w:r w:rsidR="007F54F1" w:rsidRPr="009F19BC">
        <w:t xml:space="preserve">required </w:t>
      </w:r>
      <w:r w:rsidRPr="009F19BC">
        <w:t xml:space="preserve">competencies </w:t>
      </w:r>
      <w:r w:rsidR="007F54F1" w:rsidRPr="009F19BC">
        <w:t>for</w:t>
      </w:r>
      <w:r w:rsidRPr="009F19BC">
        <w:t xml:space="preserve"> entry-level teachers</w:t>
      </w:r>
      <w:r w:rsidR="007F54F1" w:rsidRPr="009F19BC">
        <w:t xml:space="preserve"> through</w:t>
      </w:r>
      <w:r w:rsidRPr="009F19BC">
        <w:t xml:space="preserve"> to experts, although this</w:t>
      </w:r>
      <w:r w:rsidR="00BF220E" w:rsidRPr="009F19BC">
        <w:t xml:space="preserve"> was tempered by the acknowledg</w:t>
      </w:r>
      <w:r w:rsidRPr="009F19BC">
        <w:t>ment that the vast range of contexts in which literacy teachers operated did not lend itself to prescribed generic competencies (</w:t>
      </w:r>
      <w:r w:rsidR="00BF220E" w:rsidRPr="009F19BC">
        <w:t>National Board of Employment, Education and Training</w:t>
      </w:r>
      <w:r w:rsidRPr="009F19BC">
        <w:t xml:space="preserve"> 1995). Around this time, US researchers also cautioned against over-regulation because the diverse contexts in which adult </w:t>
      </w:r>
      <w:r w:rsidR="00D259B1" w:rsidRPr="009F19BC">
        <w:t>literacy and numeracy</w:t>
      </w:r>
      <w:r w:rsidRPr="009F19BC">
        <w:t xml:space="preserve"> professionals operated required training </w:t>
      </w:r>
      <w:r w:rsidR="007F54F1" w:rsidRPr="009F19BC">
        <w:t xml:space="preserve">that was </w:t>
      </w:r>
      <w:r w:rsidRPr="009F19BC">
        <w:t xml:space="preserve">contextualised to local settings and needs (Wagner &amp; </w:t>
      </w:r>
      <w:proofErr w:type="spellStart"/>
      <w:r w:rsidRPr="009F19BC">
        <w:t>Venezky</w:t>
      </w:r>
      <w:proofErr w:type="spellEnd"/>
      <w:r w:rsidRPr="009F19BC">
        <w:t xml:space="preserve"> 1999).</w:t>
      </w:r>
      <w:r w:rsidR="004A65CA" w:rsidRPr="009F19BC">
        <w:t xml:space="preserve"> </w:t>
      </w:r>
    </w:p>
    <w:p w:rsidR="005E69B4" w:rsidRPr="009F19BC" w:rsidRDefault="005E69B4" w:rsidP="009F19BC">
      <w:pPr>
        <w:pStyle w:val="Text"/>
      </w:pPr>
      <w:r w:rsidRPr="009F19BC">
        <w:t>The international surge of interest in adult literacy levels that started with the 1987 Canadian national literacy survey ultimately resulted in the Internatio</w:t>
      </w:r>
      <w:r w:rsidR="0037725F">
        <w:t>nal Adult Literacy Survey</w:t>
      </w:r>
      <w:r w:rsidRPr="009F19BC">
        <w:t xml:space="preserve">, conducted in many </w:t>
      </w:r>
      <w:proofErr w:type="gramStart"/>
      <w:r w:rsidR="00BF220E" w:rsidRPr="009F19BC">
        <w:t>Organisation</w:t>
      </w:r>
      <w:proofErr w:type="gramEnd"/>
      <w:r w:rsidR="00BF220E" w:rsidRPr="009F19BC">
        <w:t xml:space="preserve"> for Economic Co-operation and Development (</w:t>
      </w:r>
      <w:r w:rsidRPr="009F19BC">
        <w:t>OECD</w:t>
      </w:r>
      <w:r w:rsidR="00BF220E" w:rsidRPr="009F19BC">
        <w:t>) countries (</w:t>
      </w:r>
      <w:r w:rsidRPr="009F19BC">
        <w:t xml:space="preserve">2011). Australia participated in </w:t>
      </w:r>
      <w:r w:rsidR="00BF220E" w:rsidRPr="009F19BC">
        <w:t>this survey</w:t>
      </w:r>
      <w:r w:rsidRPr="009F19BC">
        <w:t xml:space="preserve"> in 1996 th</w:t>
      </w:r>
      <w:r w:rsidR="00BF220E" w:rsidRPr="009F19BC">
        <w:t>rough the Survey of Aspects of L</w:t>
      </w:r>
      <w:r w:rsidR="0037725F">
        <w:t xml:space="preserve">iteracy </w:t>
      </w:r>
      <w:r w:rsidRPr="009F19BC">
        <w:t xml:space="preserve">(Australian Bureau of Statistics 1997). The results of </w:t>
      </w:r>
      <w:r w:rsidR="007F54F1" w:rsidRPr="009F19BC">
        <w:t xml:space="preserve">the </w:t>
      </w:r>
      <w:r w:rsidR="00BF220E" w:rsidRPr="009F19BC">
        <w:t>International Adult Literacy Survey</w:t>
      </w:r>
      <w:r w:rsidRPr="009F19BC">
        <w:t xml:space="preserve"> revealed that across the developed world a large proportion of adults, including Australian adults, did not have adequate literacy skills (OECD 2011); this ensured ongoing interest in adult </w:t>
      </w:r>
      <w:r w:rsidR="00D259B1" w:rsidRPr="009F19BC">
        <w:t>literacy and numeracy</w:t>
      </w:r>
      <w:r w:rsidRPr="009F19BC">
        <w:t xml:space="preserve"> in Australia over the following decades. Increasingly</w:t>
      </w:r>
      <w:r w:rsidR="00BF220E" w:rsidRPr="009F19BC">
        <w:t>,</w:t>
      </w:r>
      <w:r w:rsidRPr="009F19BC">
        <w:t xml:space="preserve"> the </w:t>
      </w:r>
      <w:r w:rsidR="006B1832" w:rsidRPr="009F19BC">
        <w:t xml:space="preserve">literacy and numeracy </w:t>
      </w:r>
      <w:r w:rsidRPr="009F19BC">
        <w:t>workforce role changed</w:t>
      </w:r>
      <w:r w:rsidR="007F54F1" w:rsidRPr="009F19BC">
        <w:t>,</w:t>
      </w:r>
      <w:r w:rsidRPr="009F19BC">
        <w:t xml:space="preserve"> as decision-making about content and assessment moved away from practitioners and into the hands of ‘consumers, employers and industry’ (Searle 2004, p.86).</w:t>
      </w:r>
    </w:p>
    <w:p w:rsidR="005E69B4" w:rsidRPr="009F19BC" w:rsidRDefault="005E69B4" w:rsidP="009F19BC">
      <w:pPr>
        <w:pStyle w:val="Text"/>
      </w:pPr>
      <w:r w:rsidRPr="009F19BC">
        <w:lastRenderedPageBreak/>
        <w:t>Internationally</w:t>
      </w:r>
      <w:r w:rsidR="00BF220E" w:rsidRPr="009F19BC">
        <w:t>,</w:t>
      </w:r>
      <w:r w:rsidRPr="009F19BC">
        <w:t xml:space="preserve"> UNESCO </w:t>
      </w:r>
      <w:r w:rsidR="00BF220E" w:rsidRPr="009F19BC">
        <w:t xml:space="preserve">(United National Educational, Scientific and Cultural Organization) </w:t>
      </w:r>
      <w:r w:rsidRPr="009F19BC">
        <w:t>was urging governments to take responsibility for developing the basic skills of their adult populations (UNESCO 2002). UNESCO’s view of literac</w:t>
      </w:r>
      <w:r w:rsidR="007F54F1" w:rsidRPr="009F19BC">
        <w:t>y was that it was a human right —</w:t>
      </w:r>
      <w:r w:rsidRPr="009F19BC">
        <w:t xml:space="preserve"> in contrast to the OECD</w:t>
      </w:r>
      <w:r w:rsidR="00BF220E" w:rsidRPr="009F19BC">
        <w:t>,</w:t>
      </w:r>
      <w:r w:rsidRPr="009F19BC">
        <w:t xml:space="preserve"> which promoted literacy as an economic necessity (Black &amp; Yasukawa 2010). Despite the interest in</w:t>
      </w:r>
      <w:r w:rsidR="00D259B1" w:rsidRPr="009F19BC">
        <w:t xml:space="preserve">, and </w:t>
      </w:r>
      <w:r w:rsidRPr="009F19BC">
        <w:t xml:space="preserve">the </w:t>
      </w:r>
      <w:r w:rsidR="00D259B1" w:rsidRPr="009F19BC">
        <w:t>increasing</w:t>
      </w:r>
      <w:r w:rsidRPr="009F19BC">
        <w:t xml:space="preserve"> demand for</w:t>
      </w:r>
      <w:r w:rsidR="007F54F1" w:rsidRPr="009F19BC">
        <w:t>,</w:t>
      </w:r>
      <w:r w:rsidRPr="009F19BC">
        <w:t xml:space="preserve"> adult </w:t>
      </w:r>
      <w:r w:rsidR="00D259B1" w:rsidRPr="009F19BC">
        <w:t>literacy and numeracy</w:t>
      </w:r>
      <w:r w:rsidRPr="009F19BC">
        <w:t xml:space="preserve"> delivery, research into effective means of training </w:t>
      </w:r>
      <w:r w:rsidR="00D259B1" w:rsidRPr="009F19BC">
        <w:t>literacy and numeracy practitioners</w:t>
      </w:r>
      <w:r w:rsidRPr="009F19BC">
        <w:t xml:space="preserve"> was minimal. In addition to universit</w:t>
      </w:r>
      <w:r w:rsidR="00BF220E" w:rsidRPr="009F19BC">
        <w:t>y qualifications, two statement-</w:t>
      </w:r>
      <w:r w:rsidRPr="009F19BC">
        <w:t>level courses were introduced in Australia in 1995 to increase capa</w:t>
      </w:r>
      <w:r w:rsidR="002B5568" w:rsidRPr="009F19BC">
        <w:t xml:space="preserve">city (Roberts &amp; </w:t>
      </w:r>
      <w:proofErr w:type="spellStart"/>
      <w:r w:rsidR="002B5568" w:rsidRPr="009F19BC">
        <w:t>Wignall</w:t>
      </w:r>
      <w:proofErr w:type="spellEnd"/>
      <w:r w:rsidR="002B5568" w:rsidRPr="009F19BC">
        <w:t xml:space="preserve"> 2010): t</w:t>
      </w:r>
      <w:r w:rsidR="0037725F">
        <w:t>he Adult Literacy Teaching</w:t>
      </w:r>
      <w:r w:rsidRPr="009F19BC">
        <w:t xml:space="preserve"> course and </w:t>
      </w:r>
      <w:r w:rsidR="0037725F">
        <w:t>the Adult Numeracy Teaching</w:t>
      </w:r>
      <w:r w:rsidRPr="009F19BC">
        <w:t xml:space="preserve"> course. Holding the Australian model as exemplary, </w:t>
      </w:r>
      <w:proofErr w:type="spellStart"/>
      <w:r w:rsidRPr="009F19BC">
        <w:t>Coben</w:t>
      </w:r>
      <w:proofErr w:type="spellEnd"/>
      <w:r w:rsidRPr="009F19BC">
        <w:t xml:space="preserve"> and Chanda (2000) praised the </w:t>
      </w:r>
      <w:r w:rsidR="00BF220E" w:rsidRPr="009F19BC">
        <w:t>Adult Numeracy Teaching</w:t>
      </w:r>
      <w:r w:rsidRPr="009F19BC">
        <w:t xml:space="preserve"> course for its progressive approach to addressing adult numeracy teaching and reported that it was being well received. However, the lack of research into the efficacy of professional development was noted by </w:t>
      </w:r>
      <w:proofErr w:type="spellStart"/>
      <w:r w:rsidRPr="009F19BC">
        <w:t>Condelli</w:t>
      </w:r>
      <w:proofErr w:type="spellEnd"/>
      <w:r w:rsidRPr="009F19BC">
        <w:t xml:space="preserve"> (2006)</w:t>
      </w:r>
      <w:r w:rsidR="00BF220E" w:rsidRPr="009F19BC">
        <w:t>,</w:t>
      </w:r>
      <w:r w:rsidRPr="009F19BC">
        <w:t xml:space="preserve"> who particularly observed that scant research was conducted to determine the effectiveness of </w:t>
      </w:r>
      <w:r w:rsidR="00F13A31" w:rsidRPr="009F19BC">
        <w:t>such</w:t>
      </w:r>
      <w:r w:rsidR="00ED65F6" w:rsidRPr="009F19BC">
        <w:t xml:space="preserve"> </w:t>
      </w:r>
      <w:r w:rsidRPr="009F19BC">
        <w:t>course</w:t>
      </w:r>
      <w:r w:rsidR="00F13A31" w:rsidRPr="009F19BC">
        <w:t>s</w:t>
      </w:r>
      <w:r w:rsidRPr="009F19BC">
        <w:t xml:space="preserve">. </w:t>
      </w:r>
      <w:proofErr w:type="spellStart"/>
      <w:r w:rsidRPr="009F19BC">
        <w:t>Condelli</w:t>
      </w:r>
      <w:proofErr w:type="spellEnd"/>
      <w:r w:rsidRPr="009F19BC">
        <w:t xml:space="preserve"> (2006) described this as typical of most professional development programs, explaining that</w:t>
      </w:r>
      <w:r w:rsidR="00BF220E" w:rsidRPr="009F19BC">
        <w:t>,</w:t>
      </w:r>
      <w:r w:rsidRPr="009F19BC">
        <w:t xml:space="preserve"> despite the popularity of training materials and programs, little or no research followed to determine how effective they were. Evaluation of professional development generally focused on participant satisfaction and rarely on genuine outcomes</w:t>
      </w:r>
      <w:r w:rsidR="00F06848" w:rsidRPr="009F19BC">
        <w:t>, which</w:t>
      </w:r>
      <w:r w:rsidRPr="009F19BC">
        <w:t xml:space="preserve"> could be noted in changes to methodology or student performance (</w:t>
      </w:r>
      <w:proofErr w:type="spellStart"/>
      <w:r w:rsidRPr="009F19BC">
        <w:t>Belzer</w:t>
      </w:r>
      <w:proofErr w:type="spellEnd"/>
      <w:r w:rsidRPr="009F19BC">
        <w:t xml:space="preserve"> 2005).</w:t>
      </w:r>
    </w:p>
    <w:p w:rsidR="005E69B4" w:rsidRPr="009F19BC" w:rsidRDefault="005E69B4" w:rsidP="009F19BC">
      <w:pPr>
        <w:pStyle w:val="Text"/>
      </w:pPr>
      <w:r w:rsidRPr="009F19BC">
        <w:t xml:space="preserve">In 2006 Australia participated in another international skills survey: the Adult Literacy and Life Skills Survey. Yasukawa and Black (2016) suggest the interpretation of </w:t>
      </w:r>
      <w:r w:rsidR="00F06848" w:rsidRPr="009F19BC">
        <w:t>the Adult Literacy and Life Skills Survey</w:t>
      </w:r>
      <w:r w:rsidRPr="009F19BC">
        <w:t xml:space="preserve"> as a comparative tool was a pivotal step toward</w:t>
      </w:r>
      <w:r w:rsidR="009F4558" w:rsidRPr="009F19BC">
        <w:t>s</w:t>
      </w:r>
      <w:r w:rsidRPr="009F19BC">
        <w:t xml:space="preserve"> defining a single measure of literacy across populations, cultures and nations (in contrast to </w:t>
      </w:r>
      <w:proofErr w:type="spellStart"/>
      <w:r w:rsidRPr="009F19BC">
        <w:t>Wickert’s</w:t>
      </w:r>
      <w:proofErr w:type="spellEnd"/>
      <w:r w:rsidRPr="009F19BC">
        <w:t xml:space="preserve"> notion of ‘no single measure’ in 1989)</w:t>
      </w:r>
      <w:r w:rsidR="00F06848" w:rsidRPr="009F19BC">
        <w:t>, one</w:t>
      </w:r>
      <w:r w:rsidRPr="009F19BC">
        <w:t xml:space="preserve"> that could be used to infor</w:t>
      </w:r>
      <w:r w:rsidR="009F4558" w:rsidRPr="009F19BC">
        <w:t>m and direct policy development</w:t>
      </w:r>
      <w:r w:rsidRPr="009F19BC">
        <w:t xml:space="preserve"> and to contain the national definition of literacy within a human capital framework. The OECD reported that low literacy and numeracy skills led to an increased likelihood of unemployment, low income earnings, lack of access to technology, poor health and low community engagement (OECD 2011). The results increased the momentum of </w:t>
      </w:r>
      <w:r w:rsidR="006B1832" w:rsidRPr="009F19BC">
        <w:t>literacy and numeracy</w:t>
      </w:r>
      <w:r w:rsidRPr="009F19BC">
        <w:t xml:space="preserve"> delivery in Australia, particularly within vocational education</w:t>
      </w:r>
      <w:r w:rsidR="00F06848" w:rsidRPr="009F19BC">
        <w:t>,</w:t>
      </w:r>
      <w:r w:rsidRPr="009F19BC">
        <w:t xml:space="preserve"> where it was seen as integral to course completion, skill development and subsequently employ</w:t>
      </w:r>
      <w:r w:rsidR="009F4558" w:rsidRPr="009F19BC">
        <w:t>ment. Literacy and numeracy was</w:t>
      </w:r>
      <w:r w:rsidRPr="009F19BC">
        <w:t xml:space="preserve"> listed as one of four focus areas for strengthening the National Reform Agenda by the Council of Australian G</w:t>
      </w:r>
      <w:r w:rsidR="009F4558" w:rsidRPr="009F19BC">
        <w:t xml:space="preserve">overnments (COAG; </w:t>
      </w:r>
      <w:r w:rsidR="00F06848" w:rsidRPr="009F19BC">
        <w:t xml:space="preserve">Choy, </w:t>
      </w:r>
      <w:proofErr w:type="spellStart"/>
      <w:r w:rsidR="00F06848" w:rsidRPr="009F19BC">
        <w:t>Haukka</w:t>
      </w:r>
      <w:proofErr w:type="spellEnd"/>
      <w:r w:rsidRPr="009F19BC">
        <w:t xml:space="preserve"> &amp; Keyes 2006)</w:t>
      </w:r>
      <w:r w:rsidR="00F06848" w:rsidRPr="009F19BC">
        <w:t>,</w:t>
      </w:r>
      <w:r w:rsidRPr="009F19BC">
        <w:t xml:space="preserve"> which resulted in closer scrutiny of the </w:t>
      </w:r>
      <w:r w:rsidR="006B1832" w:rsidRPr="009F19BC">
        <w:t xml:space="preserve">literacy and numeracy </w:t>
      </w:r>
      <w:r w:rsidRPr="009F19BC">
        <w:t xml:space="preserve">profession. Defining the role and skill level of the </w:t>
      </w:r>
      <w:r w:rsidR="006B1832" w:rsidRPr="009F19BC">
        <w:t xml:space="preserve">literacy and numeracy </w:t>
      </w:r>
      <w:r w:rsidRPr="009F19BC">
        <w:t xml:space="preserve">practitioner became increasingly important as </w:t>
      </w:r>
      <w:r w:rsidR="006B1832" w:rsidRPr="009F19BC">
        <w:t xml:space="preserve">literacy and numeracy </w:t>
      </w:r>
      <w:r w:rsidRPr="009F19BC">
        <w:t xml:space="preserve">moved into a space where it was accountable to business and government. In the UK, </w:t>
      </w:r>
      <w:r w:rsidR="00F06848" w:rsidRPr="009F19BC">
        <w:t xml:space="preserve">Hamilton and </w:t>
      </w:r>
      <w:r w:rsidRPr="009F19BC">
        <w:t>Hillier described this space as a ‘pivotal position within policy and within the discourses of human resource development and social inclusion’ (2006, p.14).</w:t>
      </w:r>
    </w:p>
    <w:p w:rsidR="005E69B4" w:rsidRPr="009F19BC" w:rsidRDefault="005E69B4" w:rsidP="009F19BC">
      <w:pPr>
        <w:pStyle w:val="Text"/>
      </w:pPr>
      <w:r w:rsidRPr="009F19BC">
        <w:t xml:space="preserve">Internationally there was </w:t>
      </w:r>
      <w:r w:rsidR="009F4558" w:rsidRPr="009F19BC">
        <w:t xml:space="preserve">a </w:t>
      </w:r>
      <w:r w:rsidRPr="009F19BC">
        <w:t>lack of agreement</w:t>
      </w:r>
      <w:r w:rsidR="004A65CA" w:rsidRPr="009F19BC">
        <w:t xml:space="preserve"> </w:t>
      </w:r>
      <w:r w:rsidR="009F4558" w:rsidRPr="009F19BC">
        <w:t>on</w:t>
      </w:r>
      <w:r w:rsidRPr="009F19BC">
        <w:t xml:space="preserve"> what constituted a </w:t>
      </w:r>
      <w:r w:rsidR="006B1832" w:rsidRPr="009F19BC">
        <w:t>literacy and numeracy</w:t>
      </w:r>
      <w:r w:rsidRPr="009F19BC">
        <w:t xml:space="preserve"> professional and whether any qualifications and skills could be considered uniform, given the different working contexts in which the </w:t>
      </w:r>
      <w:r w:rsidR="006B1832" w:rsidRPr="009F19BC">
        <w:t xml:space="preserve">literacy and numeracy </w:t>
      </w:r>
      <w:r w:rsidRPr="009F19BC">
        <w:t xml:space="preserve">workforce operated (Quigley 2006; Hamilton &amp; Hillier 2006). In 2002 new qualifications for tutors were introduced in the UK (Hamilton &amp; Hillier 2006) and </w:t>
      </w:r>
      <w:r w:rsidR="00F06848" w:rsidRPr="009F19BC">
        <w:t>by 2006 in the US</w:t>
      </w:r>
      <w:r w:rsidRPr="009F19BC">
        <w:t xml:space="preserve"> 14 states either recommended or required adult literacy and basic education practitioners to have a basic education certificate (Quigley 2006). In Australia, Mackay et al. (2006) conducted research to examine the professional development needs of the </w:t>
      </w:r>
      <w:r w:rsidR="006B1832" w:rsidRPr="009F19BC">
        <w:t>literacy and numeracy</w:t>
      </w:r>
      <w:r w:rsidRPr="009F19BC">
        <w:t xml:space="preserve"> workforce. They divided the field into three groups: </w:t>
      </w:r>
      <w:r w:rsidR="006B1832" w:rsidRPr="009F19BC">
        <w:t>literacy and numeracy</w:t>
      </w:r>
      <w:r w:rsidRPr="009F19BC">
        <w:t xml:space="preserve"> specialists; </w:t>
      </w:r>
      <w:r w:rsidR="006B1832" w:rsidRPr="009F19BC">
        <w:t xml:space="preserve">literacy and </w:t>
      </w:r>
      <w:r w:rsidR="006B1832" w:rsidRPr="009F19BC">
        <w:lastRenderedPageBreak/>
        <w:t xml:space="preserve">numeracy </w:t>
      </w:r>
      <w:r w:rsidRPr="009F19BC">
        <w:t xml:space="preserve">volunteers; and vocational teachers who catered for students with </w:t>
      </w:r>
      <w:r w:rsidR="006B1832" w:rsidRPr="009F19BC">
        <w:t xml:space="preserve">literacy and numeracy </w:t>
      </w:r>
      <w:r w:rsidRPr="009F19BC">
        <w:t xml:space="preserve">needs within the overall framework of their vocational courses. They found that much professional development was about compliance rather than </w:t>
      </w:r>
      <w:r w:rsidR="006B1832" w:rsidRPr="009F19BC">
        <w:t xml:space="preserve">literacy and numeracy </w:t>
      </w:r>
      <w:r w:rsidRPr="009F19BC">
        <w:t>teaching and content (Mackay et al. 2006).</w:t>
      </w:r>
    </w:p>
    <w:p w:rsidR="005E69B4" w:rsidRPr="009F19BC" w:rsidRDefault="005E69B4" w:rsidP="009F19BC">
      <w:pPr>
        <w:pStyle w:val="Text"/>
      </w:pPr>
      <w:r w:rsidRPr="009F19BC">
        <w:t xml:space="preserve">In Australia, where there is no current national </w:t>
      </w:r>
      <w:r w:rsidR="002B5568" w:rsidRPr="009F19BC">
        <w:t xml:space="preserve">policy specifically focusing on </w:t>
      </w:r>
      <w:r w:rsidR="006B1832" w:rsidRPr="009F19BC">
        <w:t>literacy and numeracy</w:t>
      </w:r>
      <w:r w:rsidRPr="009F19BC">
        <w:t xml:space="preserve">, </w:t>
      </w:r>
      <w:r w:rsidR="006B1832" w:rsidRPr="009F19BC">
        <w:t xml:space="preserve">literacy and numeracy </w:t>
      </w:r>
      <w:r w:rsidRPr="009F19BC">
        <w:t>has recently been resituated in the educational lands</w:t>
      </w:r>
      <w:r w:rsidR="00F06848" w:rsidRPr="009F19BC">
        <w:t>cape under ‘foundation skills’ —</w:t>
      </w:r>
      <w:r w:rsidRPr="009F19BC">
        <w:t xml:space="preserve"> a term introduced to describe </w:t>
      </w:r>
      <w:r w:rsidR="006B1832" w:rsidRPr="009F19BC">
        <w:t xml:space="preserve">literacy and numeracy </w:t>
      </w:r>
      <w:r w:rsidRPr="009F19BC">
        <w:t xml:space="preserve">as part of a suite of skills linked to employability (Black &amp; Yasukawa 2010). In examining </w:t>
      </w:r>
      <w:r w:rsidR="006B1832" w:rsidRPr="009F19BC">
        <w:t>literacy and numeracy</w:t>
      </w:r>
      <w:r w:rsidRPr="009F19BC">
        <w:t xml:space="preserve"> in Australia, Perkins (2009) linked the absence of a current national </w:t>
      </w:r>
      <w:r w:rsidR="006B1832" w:rsidRPr="009F19BC">
        <w:t xml:space="preserve">literacy and numeracy </w:t>
      </w:r>
      <w:r w:rsidRPr="009F19BC">
        <w:t xml:space="preserve">policy to a lack of awareness by key decision-makers about </w:t>
      </w:r>
      <w:r w:rsidR="006B1832" w:rsidRPr="009F19BC">
        <w:t xml:space="preserve">literacy and numeracy </w:t>
      </w:r>
      <w:r w:rsidRPr="009F19BC">
        <w:t xml:space="preserve">issues and suggested </w:t>
      </w:r>
      <w:r w:rsidR="003625FD" w:rsidRPr="009F19BC">
        <w:t xml:space="preserve">that </w:t>
      </w:r>
      <w:r w:rsidRPr="009F19BC">
        <w:t>raising awareness could be achieved by changing the terminology used to a broad and easily understood term such as ‘core skills or foundation skills’ (Perkins 2009, p.8) because</w:t>
      </w:r>
      <w:r w:rsidR="009F4558" w:rsidRPr="009F19BC">
        <w:t>:</w:t>
      </w:r>
    </w:p>
    <w:p w:rsidR="005E69B4" w:rsidRPr="00E75D99" w:rsidRDefault="005E69B4" w:rsidP="00802F77">
      <w:pPr>
        <w:pStyle w:val="Quote"/>
        <w:spacing w:after="240"/>
      </w:pPr>
      <w:r w:rsidRPr="00E75D99">
        <w:t>New policies may have more chance of influencing mainstream decision-making if they align with the emerging vision for Australia in 2020, and treat literacy and nume</w:t>
      </w:r>
      <w:r w:rsidR="003625FD">
        <w:t>racy as a means to various ends.</w:t>
      </w:r>
      <w:r w:rsidR="003625FD">
        <w:tab/>
      </w:r>
      <w:r w:rsidR="003625FD">
        <w:tab/>
      </w:r>
      <w:r w:rsidR="003625FD">
        <w:tab/>
      </w:r>
      <w:r w:rsidR="003625FD">
        <w:tab/>
      </w:r>
      <w:r w:rsidR="003625FD">
        <w:tab/>
      </w:r>
      <w:r w:rsidR="003625FD">
        <w:tab/>
      </w:r>
      <w:r w:rsidR="003625FD">
        <w:tab/>
      </w:r>
      <w:r w:rsidR="003625FD">
        <w:tab/>
      </w:r>
      <w:r w:rsidR="003625FD">
        <w:tab/>
        <w:t>(Perkins 2009, p.31)</w:t>
      </w:r>
    </w:p>
    <w:p w:rsidR="005E69B4" w:rsidRPr="009F19BC" w:rsidRDefault="005E69B4" w:rsidP="009F19BC">
      <w:pPr>
        <w:pStyle w:val="Text"/>
      </w:pPr>
      <w:r w:rsidRPr="009F19BC">
        <w:t>The Standing Council on Tertiary Education, Skills and Employment (SCOTESE) released the National Foundation Skills Strategy for Adults in 2012 and explained that foundation skills covered English language, literacy, numeracy and employability skills (</w:t>
      </w:r>
      <w:r w:rsidR="003625FD" w:rsidRPr="009F19BC">
        <w:t>Standing Council on Tertiary Education, Skills and Employment</w:t>
      </w:r>
      <w:r w:rsidRPr="009F19BC">
        <w:t xml:space="preserve"> 2012). </w:t>
      </w:r>
      <w:proofErr w:type="spellStart"/>
      <w:r w:rsidRPr="009F19BC">
        <w:t>Wignall</w:t>
      </w:r>
      <w:proofErr w:type="spellEnd"/>
      <w:r w:rsidRPr="009F19BC">
        <w:t xml:space="preserve"> (2015) undertook research to inform the development of a professional standards structure and found that among practitioners the term ‘foundation skills’ was increasingly accepted as a useful way to engage with stakeholders outside the field. </w:t>
      </w:r>
    </w:p>
    <w:p w:rsidR="005E69B4" w:rsidRPr="00E75D99" w:rsidRDefault="005E69B4" w:rsidP="009F19BC">
      <w:pPr>
        <w:pStyle w:val="Text"/>
      </w:pPr>
      <w:r w:rsidRPr="00E75D99">
        <w:t xml:space="preserve">A </w:t>
      </w:r>
      <w:r w:rsidR="0037725F">
        <w:t xml:space="preserve">professional standards </w:t>
      </w:r>
      <w:r w:rsidRPr="00E75D99">
        <w:t>framework for the foundation skills workforce is currently under development</w:t>
      </w:r>
      <w:r w:rsidR="003625FD">
        <w:t>,</w:t>
      </w:r>
      <w:r w:rsidRPr="00E75D99">
        <w:t xml:space="preserve"> following research and consultation by the </w:t>
      </w:r>
      <w:r w:rsidR="003625FD" w:rsidRPr="003625FD">
        <w:rPr>
          <w:sz w:val="18"/>
          <w:szCs w:val="18"/>
        </w:rPr>
        <w:t>National Foundation Skills Strategy</w:t>
      </w:r>
      <w:r w:rsidRPr="003625FD">
        <w:rPr>
          <w:sz w:val="18"/>
          <w:szCs w:val="18"/>
        </w:rPr>
        <w:t xml:space="preserve"> </w:t>
      </w:r>
      <w:r w:rsidRPr="00E75D99">
        <w:t xml:space="preserve">into </w:t>
      </w:r>
      <w:r w:rsidR="00C444C4" w:rsidRPr="00C444C4">
        <w:t xml:space="preserve">ways to strengthen </w:t>
      </w:r>
      <w:r w:rsidR="009F4558">
        <w:t xml:space="preserve">the </w:t>
      </w:r>
      <w:r>
        <w:t>delivery of foundation skills</w:t>
      </w:r>
      <w:r w:rsidRPr="00E75D99">
        <w:t xml:space="preserve"> (discussed in later sections). Research informing the framework indicated </w:t>
      </w:r>
      <w:r w:rsidR="009F4558">
        <w:t xml:space="preserve">that </w:t>
      </w:r>
      <w:r w:rsidRPr="00E75D99">
        <w:t>specialisations within foundation skills may need to include English language, literacy, n</w:t>
      </w:r>
      <w:r w:rsidR="009F4558">
        <w:t>umeracy, digital literacy, work-</w:t>
      </w:r>
      <w:r w:rsidRPr="00E75D99">
        <w:t xml:space="preserve">readiness and possibly specific skills </w:t>
      </w:r>
      <w:r w:rsidR="003625FD">
        <w:t>for</w:t>
      </w:r>
      <w:r w:rsidRPr="00E75D99">
        <w:t xml:space="preserve"> </w:t>
      </w:r>
      <w:r w:rsidR="009F4558">
        <w:t>delivery</w:t>
      </w:r>
      <w:r w:rsidRPr="00E75D99">
        <w:t xml:space="preserve"> in particular contexts or to particular learners (</w:t>
      </w:r>
      <w:proofErr w:type="spellStart"/>
      <w:r w:rsidRPr="00E75D99">
        <w:t>Wignall</w:t>
      </w:r>
      <w:proofErr w:type="spellEnd"/>
      <w:r w:rsidRPr="00E75D99">
        <w:t xml:space="preserve"> 2015). </w:t>
      </w:r>
    </w:p>
    <w:p w:rsidR="005E69B4" w:rsidRPr="00E75D99" w:rsidRDefault="005E69B4" w:rsidP="009F19BC">
      <w:pPr>
        <w:pStyle w:val="Text"/>
      </w:pPr>
      <w:r w:rsidRPr="00E75D99">
        <w:t xml:space="preserve">Language skills, referring to the acquisition of the English language, have increasingly been grouped with literacy and numeracy skills. This may be because it is expedient for funding bodies to group skill areas together. For example, the proposed amalgamation of </w:t>
      </w:r>
      <w:r w:rsidR="003625FD" w:rsidRPr="00B63C6C">
        <w:t>Skills for Education and Employment</w:t>
      </w:r>
      <w:r w:rsidRPr="00E75D99">
        <w:t xml:space="preserve"> and the Adult Migrant Education Program is recommended </w:t>
      </w:r>
      <w:r>
        <w:t xml:space="preserve">to </w:t>
      </w:r>
      <w:r w:rsidRPr="00E75D99">
        <w:t xml:space="preserve">the </w:t>
      </w:r>
      <w:r w:rsidR="003625FD">
        <w:t>Australian Government</w:t>
      </w:r>
      <w:r w:rsidRPr="00E75D99">
        <w:t xml:space="preserve"> as a way to provide economies of scale and scope and enhance program administration efficiency (</w:t>
      </w:r>
      <w:r w:rsidR="009A2246">
        <w:rPr>
          <w:szCs w:val="18"/>
        </w:rPr>
        <w:t>ACIL</w:t>
      </w:r>
      <w:r>
        <w:rPr>
          <w:szCs w:val="18"/>
        </w:rPr>
        <w:t xml:space="preserve"> Allen Consulting 2015</w:t>
      </w:r>
      <w:r w:rsidR="00C444C4">
        <w:t>). I</w:t>
      </w:r>
      <w:r w:rsidRPr="00E75D99">
        <w:t>n relation to the introduction of foundation skills</w:t>
      </w:r>
      <w:r w:rsidR="003625FD">
        <w:t>,</w:t>
      </w:r>
      <w:r w:rsidRPr="00E75D99">
        <w:t xml:space="preserve"> </w:t>
      </w:r>
      <w:r w:rsidR="003625FD">
        <w:t xml:space="preserve">the </w:t>
      </w:r>
      <w:r w:rsidR="003625FD" w:rsidRPr="00E75D99">
        <w:t>Standing Council on Tertiary Education, Skills and Employment</w:t>
      </w:r>
      <w:r w:rsidRPr="00E75D99">
        <w:t xml:space="preserve"> state</w:t>
      </w:r>
      <w:r w:rsidR="003625FD">
        <w:t>s</w:t>
      </w:r>
      <w:r w:rsidRPr="00E75D99">
        <w:t xml:space="preserve"> that ‘establishing clear criteria for identifying foundation skills specialists will allow the purchasers of services to make informed decisions about the quality and suitability of practitioners’ (2013, p.8). However, teachers of English language in Australian educational settings on programs such as </w:t>
      </w:r>
      <w:r w:rsidR="003625FD" w:rsidRPr="00B63C6C">
        <w:t>Skills for Education and Employment</w:t>
      </w:r>
      <w:r w:rsidRPr="00E75D99">
        <w:t>,</w:t>
      </w:r>
      <w:r w:rsidR="003625FD" w:rsidRPr="003625FD">
        <w:t xml:space="preserve"> </w:t>
      </w:r>
      <w:r w:rsidR="00FE4413">
        <w:t xml:space="preserve">the </w:t>
      </w:r>
      <w:r w:rsidR="003625FD" w:rsidRPr="00E75D99">
        <w:t xml:space="preserve">Adult Migrant Education Program </w:t>
      </w:r>
      <w:r w:rsidRPr="00E75D99">
        <w:t xml:space="preserve">and </w:t>
      </w:r>
      <w:r w:rsidR="004122E9" w:rsidRPr="004122E9">
        <w:t xml:space="preserve">English language acquisition courses </w:t>
      </w:r>
      <w:r w:rsidRPr="00E75D99">
        <w:t xml:space="preserve">in TAFE </w:t>
      </w:r>
      <w:r w:rsidR="0037725F">
        <w:t xml:space="preserve">institutes </w:t>
      </w:r>
      <w:r w:rsidR="004122E9">
        <w:t xml:space="preserve">and community providers </w:t>
      </w:r>
      <w:r w:rsidRPr="00E75D99">
        <w:t xml:space="preserve">have a specialist TESOL </w:t>
      </w:r>
      <w:r w:rsidR="00FE4413">
        <w:t>(t</w:t>
      </w:r>
      <w:r w:rsidR="003D016B">
        <w:t xml:space="preserve">eachers of English to </w:t>
      </w:r>
      <w:r w:rsidR="00FE4413">
        <w:t>speakers of other languages</w:t>
      </w:r>
      <w:r w:rsidR="003D016B">
        <w:t xml:space="preserve">) </w:t>
      </w:r>
      <w:r w:rsidRPr="00E75D99">
        <w:t>qualification (</w:t>
      </w:r>
      <w:proofErr w:type="spellStart"/>
      <w:r w:rsidRPr="00E75D99">
        <w:t>VicTESOL</w:t>
      </w:r>
      <w:proofErr w:type="spellEnd"/>
      <w:r w:rsidRPr="00E75D99">
        <w:t xml:space="preserve"> 2016). For example, the largest employer</w:t>
      </w:r>
      <w:r w:rsidR="0037725F">
        <w:t>s</w:t>
      </w:r>
      <w:r w:rsidRPr="00E75D99">
        <w:t xml:space="preserve"> in the sector, TAFE</w:t>
      </w:r>
      <w:r w:rsidR="0037725F">
        <w:t xml:space="preserve"> institutes</w:t>
      </w:r>
      <w:r w:rsidRPr="00E75D99">
        <w:t xml:space="preserve">, use different job descriptors </w:t>
      </w:r>
      <w:r w:rsidR="0037725F">
        <w:t>and require</w:t>
      </w:r>
      <w:r w:rsidRPr="00E75D99">
        <w:t xml:space="preserve"> different qualifications for </w:t>
      </w:r>
      <w:r w:rsidRPr="00E75D99">
        <w:lastRenderedPageBreak/>
        <w:t xml:space="preserve">English language practitioners </w:t>
      </w:r>
      <w:r w:rsidR="003D016B">
        <w:t>from</w:t>
      </w:r>
      <w:r w:rsidRPr="00E75D99">
        <w:t xml:space="preserve"> those required for </w:t>
      </w:r>
      <w:r w:rsidR="00BE7E2A">
        <w:t>literacy and numeracy</w:t>
      </w:r>
      <w:r w:rsidR="00BE7E2A" w:rsidRPr="00E75D99">
        <w:t xml:space="preserve"> </w:t>
      </w:r>
      <w:r w:rsidRPr="00E75D99">
        <w:t>practitioners. The fields are not identical: ‘while ESOL and literacy provision are related, they are not the same and there are important differences between the fields that should not be o</w:t>
      </w:r>
      <w:r w:rsidR="006B1832">
        <w:t>verlooked’ (</w:t>
      </w:r>
      <w:proofErr w:type="spellStart"/>
      <w:r w:rsidR="006B1832">
        <w:t>Benseman</w:t>
      </w:r>
      <w:proofErr w:type="spellEnd"/>
      <w:r w:rsidR="006B1832">
        <w:t>, Sutton &amp;</w:t>
      </w:r>
      <w:r w:rsidRPr="00E75D99">
        <w:t xml:space="preserve"> Lander 2005, p.72).</w:t>
      </w:r>
    </w:p>
    <w:p w:rsidR="005E69B4" w:rsidRPr="00E75D99" w:rsidRDefault="005E69B4" w:rsidP="009F19BC">
      <w:pPr>
        <w:pStyle w:val="Text"/>
      </w:pPr>
      <w:r w:rsidRPr="00E75D99">
        <w:t>Due to the multicultural and multilingual nature of Australian society</w:t>
      </w:r>
      <w:r w:rsidR="009F4558">
        <w:t>,</w:t>
      </w:r>
      <w:r w:rsidRPr="00E75D99">
        <w:t xml:space="preserve"> it is necessary for </w:t>
      </w:r>
      <w:r w:rsidR="006B1832" w:rsidRPr="00B63C6C">
        <w:t>literacy and numeracy</w:t>
      </w:r>
      <w:r w:rsidRPr="00E75D99">
        <w:t xml:space="preserve"> practitioners to have a set of strategies to develop learners’ existing English language skills</w:t>
      </w:r>
      <w:r w:rsidR="009F4558">
        <w:t>,</w:t>
      </w:r>
      <w:r w:rsidRPr="00E75D99">
        <w:t xml:space="preserve"> but typically a certain level of spoken English proficiency is assumed</w:t>
      </w:r>
      <w:r w:rsidR="009F4558">
        <w:t>,</w:t>
      </w:r>
      <w:r w:rsidRPr="00E75D99">
        <w:t xml:space="preserve"> </w:t>
      </w:r>
      <w:r w:rsidR="009F4558">
        <w:t>enabling</w:t>
      </w:r>
      <w:r w:rsidRPr="00E75D99">
        <w:t xml:space="preserve"> the learners </w:t>
      </w:r>
      <w:r w:rsidR="009F4558">
        <w:t>to</w:t>
      </w:r>
      <w:r w:rsidRPr="00E75D99">
        <w:t xml:space="preserve"> participate in literacy and numeracy learning where English is the language of instruction. If expected to teach across the range of foundation skills, the </w:t>
      </w:r>
      <w:r w:rsidR="006B1832" w:rsidRPr="00B63C6C">
        <w:t xml:space="preserve">literacy and numeracy </w:t>
      </w:r>
      <w:r w:rsidRPr="00E75D99">
        <w:t xml:space="preserve">workforce will be challenged to develop additional expertise: </w:t>
      </w:r>
      <w:r w:rsidR="0037725F">
        <w:t xml:space="preserve">the </w:t>
      </w:r>
      <w:r w:rsidRPr="00E75D99">
        <w:t>in</w:t>
      </w:r>
      <w:r w:rsidR="00BE7E2A">
        <w:t>clusion of English as a second/</w:t>
      </w:r>
      <w:r w:rsidRPr="00E75D99">
        <w:t>additional language or dialect in the teaching repertoire creates a challenge in terms of qualifications, expertise and experience. Similarly</w:t>
      </w:r>
      <w:r w:rsidR="003D016B">
        <w:t>,</w:t>
      </w:r>
      <w:r w:rsidRPr="00E75D99">
        <w:t xml:space="preserve"> many of those qualified in TESOL will be challenged to develop additional expertise in teaching literacy to learners for whom English is the mother tongue, and in teaching numeracy. Moreover</w:t>
      </w:r>
      <w:r w:rsidR="003D016B">
        <w:t>,</w:t>
      </w:r>
      <w:r w:rsidRPr="00E75D99">
        <w:t xml:space="preserve"> as foundation skills includes employability skills</w:t>
      </w:r>
      <w:r w:rsidR="009A2246">
        <w:t>,</w:t>
      </w:r>
      <w:r w:rsidR="009A2246" w:rsidRPr="009A2246">
        <w:t xml:space="preserve"> </w:t>
      </w:r>
      <w:r w:rsidR="009A2246" w:rsidRPr="00E75D99">
        <w:t xml:space="preserve">according to the </w:t>
      </w:r>
      <w:r w:rsidR="009A2246">
        <w:t>National Foundation Skills Strategy for Adults (</w:t>
      </w:r>
      <w:r w:rsidR="003D016B" w:rsidRPr="00E75D99">
        <w:t>Standing Council on Tertiary Education, Skills and Employment</w:t>
      </w:r>
      <w:r w:rsidR="009A2246">
        <w:t xml:space="preserve"> 2012)</w:t>
      </w:r>
      <w:r w:rsidRPr="00E75D99">
        <w:t xml:space="preserve">, </w:t>
      </w:r>
      <w:r w:rsidR="006B1832" w:rsidRPr="00B63C6C">
        <w:t>literacy and numeracy</w:t>
      </w:r>
      <w:r w:rsidRPr="00E75D99">
        <w:t xml:space="preserve"> and TESOL professionals are</w:t>
      </w:r>
      <w:r w:rsidR="009F4558">
        <w:t xml:space="preserve"> challenged to consider how these</w:t>
      </w:r>
      <w:r w:rsidRPr="00E75D99">
        <w:t xml:space="preserve"> can be embed</w:t>
      </w:r>
      <w:r w:rsidR="009F4558">
        <w:t>ded — or taught separately</w:t>
      </w:r>
      <w:r w:rsidR="003D016B">
        <w:t>.</w:t>
      </w:r>
    </w:p>
    <w:p w:rsidR="00F61AC2" w:rsidRDefault="00F61AC2" w:rsidP="009F19BC">
      <w:pPr>
        <w:pStyle w:val="Text"/>
        <w:rPr>
          <w:rFonts w:ascii="Arial" w:hAnsi="Arial" w:cs="Tahoma"/>
          <w:kern w:val="28"/>
          <w:sz w:val="28"/>
          <w:szCs w:val="28"/>
        </w:rPr>
      </w:pPr>
      <w:r>
        <w:rPr>
          <w:sz w:val="28"/>
          <w:szCs w:val="28"/>
        </w:rPr>
        <w:br w:type="page"/>
      </w:r>
    </w:p>
    <w:p w:rsidR="001B6395" w:rsidRPr="00F61AC2" w:rsidRDefault="00F61AC2" w:rsidP="00F61AC2">
      <w:pPr>
        <w:pStyle w:val="Heading1"/>
      </w:pPr>
      <w:bookmarkStart w:id="31" w:name="_Toc468885399"/>
      <w:r>
        <w:lastRenderedPageBreak/>
        <w:t>The current literacy and numeracy</w:t>
      </w:r>
      <w:r w:rsidR="001B6395" w:rsidRPr="00F61AC2">
        <w:t xml:space="preserve"> workforce</w:t>
      </w:r>
      <w:bookmarkEnd w:id="31"/>
    </w:p>
    <w:p w:rsidR="001B6395" w:rsidRPr="009F19BC" w:rsidRDefault="001B6395" w:rsidP="009F19BC">
      <w:pPr>
        <w:pStyle w:val="Text"/>
      </w:pPr>
      <w:r w:rsidRPr="009F19BC">
        <w:t xml:space="preserve">While repeated attempts to comprehensively describe the </w:t>
      </w:r>
      <w:r w:rsidR="006B1832" w:rsidRPr="009F19BC">
        <w:t>literacy and numeracy</w:t>
      </w:r>
      <w:r w:rsidRPr="009F19BC">
        <w:t xml:space="preserve"> professional have been inconclusive, the literature shows</w:t>
      </w:r>
      <w:r w:rsidR="009F4558" w:rsidRPr="009F19BC">
        <w:t xml:space="preserve"> that</w:t>
      </w:r>
      <w:r w:rsidRPr="009F19BC">
        <w:t xml:space="preserve"> identification</w:t>
      </w:r>
      <w:r w:rsidR="003D016B" w:rsidRPr="009F19BC">
        <w:t xml:space="preserve"> of this role</w:t>
      </w:r>
      <w:r w:rsidRPr="009F19BC">
        <w:t xml:space="preserve"> is deemed to be important for reasons that include:</w:t>
      </w:r>
    </w:p>
    <w:p w:rsidR="001B6395" w:rsidRPr="00F61AC2" w:rsidRDefault="001B6395" w:rsidP="00F61AC2">
      <w:pPr>
        <w:pStyle w:val="Dotpoint1"/>
      </w:pPr>
      <w:r w:rsidRPr="00F61AC2">
        <w:t>recognising and categorising knowledge, skills and experience</w:t>
      </w:r>
    </w:p>
    <w:p w:rsidR="001B6395" w:rsidRPr="00F61AC2" w:rsidRDefault="001B6395" w:rsidP="00F61AC2">
      <w:pPr>
        <w:pStyle w:val="Dotpoint1"/>
      </w:pPr>
      <w:r w:rsidRPr="00F61AC2">
        <w:t xml:space="preserve">communicating and employing </w:t>
      </w:r>
      <w:r w:rsidR="006B1832" w:rsidRPr="00B63C6C">
        <w:t>literacy and numeracy</w:t>
      </w:r>
      <w:r w:rsidRPr="00F61AC2">
        <w:t xml:space="preserve"> practitioner skill</w:t>
      </w:r>
      <w:r w:rsidR="009F4558">
        <w:t>s</w:t>
      </w:r>
      <w:r w:rsidRPr="00F61AC2">
        <w:t xml:space="preserve"> effectively</w:t>
      </w:r>
    </w:p>
    <w:p w:rsidR="001B6395" w:rsidRPr="00F61AC2" w:rsidRDefault="001B6395" w:rsidP="00F61AC2">
      <w:pPr>
        <w:pStyle w:val="Dotpoint1"/>
      </w:pPr>
      <w:r w:rsidRPr="00F61AC2">
        <w:t xml:space="preserve">identifying deficits and informing professional development </w:t>
      </w:r>
    </w:p>
    <w:p w:rsidR="001B6395" w:rsidRPr="00F61AC2" w:rsidRDefault="001B6395" w:rsidP="00F61AC2">
      <w:pPr>
        <w:pStyle w:val="Dotpoint1"/>
      </w:pPr>
      <w:proofErr w:type="gramStart"/>
      <w:r w:rsidRPr="00F61AC2">
        <w:t>creating</w:t>
      </w:r>
      <w:proofErr w:type="gramEnd"/>
      <w:r w:rsidRPr="00F61AC2">
        <w:t xml:space="preserve"> a basis from which to professionalise the field.</w:t>
      </w:r>
    </w:p>
    <w:p w:rsidR="001B6395" w:rsidRPr="009F19BC" w:rsidRDefault="003D016B" w:rsidP="009F19BC">
      <w:pPr>
        <w:pStyle w:val="Text"/>
      </w:pPr>
      <w:r w:rsidRPr="009F19BC">
        <w:t>This section reviews</w:t>
      </w:r>
      <w:r w:rsidR="001B6395" w:rsidRPr="009F19BC">
        <w:t xml:space="preserve"> surveys of workforces in Australia (Circelli 2015), Canada (</w:t>
      </w:r>
      <w:proofErr w:type="spellStart"/>
      <w:r w:rsidR="001B6395" w:rsidRPr="009F19BC">
        <w:t>Leckie</w:t>
      </w:r>
      <w:proofErr w:type="spellEnd"/>
      <w:r w:rsidR="001B6395" w:rsidRPr="009F19BC">
        <w:t xml:space="preserve"> et al. 2014), the UK (Cara et al. 2010) and New Zeal</w:t>
      </w:r>
      <w:r w:rsidR="00BA4FC4" w:rsidRPr="009F19BC">
        <w:t>and (</w:t>
      </w:r>
      <w:proofErr w:type="spellStart"/>
      <w:r w:rsidR="00BA4FC4" w:rsidRPr="009F19BC">
        <w:t>Benseman</w:t>
      </w:r>
      <w:proofErr w:type="spellEnd"/>
      <w:r w:rsidR="00BA4FC4" w:rsidRPr="009F19BC">
        <w:t xml:space="preserve"> 2014)</w:t>
      </w:r>
      <w:r w:rsidR="001B6395" w:rsidRPr="009F19BC">
        <w:t>. In</w:t>
      </w:r>
      <w:r w:rsidR="00BA0A7A">
        <w:t>formation from other countries was</w:t>
      </w:r>
      <w:r w:rsidR="001B6395" w:rsidRPr="009F19BC">
        <w:t xml:space="preserve"> </w:t>
      </w:r>
      <w:r w:rsidR="00BA0A7A">
        <w:t>identified but was</w:t>
      </w:r>
      <w:r w:rsidR="001B6395" w:rsidRPr="009F19BC">
        <w:t xml:space="preserve"> older than the period being considered. The methodology used to gather information in each survey has been described to provide insight into the difficulties encountered by researchers in reaching workforce participants. In the Australian survey the </w:t>
      </w:r>
      <w:r w:rsidR="006B1832" w:rsidRPr="009F19BC">
        <w:t>literacy and numeracy</w:t>
      </w:r>
      <w:r w:rsidR="001B6395" w:rsidRPr="009F19BC">
        <w:t xml:space="preserve"> workforce was included under the umbrella of foundation skills, which also includes those working in the areas of English language and employability skills. The study was not restricted to teachers, and included a range of roles within the foundation skills area. The Canadian survey was of the literacy and essential skills</w:t>
      </w:r>
      <w:r w:rsidR="00F13A31" w:rsidRPr="00BA0A7A">
        <w:rPr>
          <w:rStyle w:val="FootnoteReference"/>
        </w:rPr>
        <w:footnoteReference w:id="3"/>
      </w:r>
      <w:r w:rsidR="001B6395" w:rsidRPr="009F19BC">
        <w:t xml:space="preserve"> workforce. </w:t>
      </w:r>
      <w:r w:rsidR="00BA4FC4" w:rsidRPr="009F19BC">
        <w:t>Similar to</w:t>
      </w:r>
      <w:r w:rsidR="001B6395" w:rsidRPr="009F19BC">
        <w:t xml:space="preserve"> the Australian survey, the Canadian report covered a range of roles, not only teachers. The UK survey covered literacy, numeracy and ESOL practitioners. In New Zealand the research was of literacy and numeracy practitioners. The wide focus of some of the research makes generalisations about the similarities between </w:t>
      </w:r>
      <w:r w:rsidR="006B1832" w:rsidRPr="009F19BC">
        <w:t>literacy and numeracy</w:t>
      </w:r>
      <w:r w:rsidR="001B6395" w:rsidRPr="009F19BC">
        <w:t xml:space="preserve"> workforces in the four countries difficult, but some general conclusions can be drawn:</w:t>
      </w:r>
    </w:p>
    <w:p w:rsidR="001B6395" w:rsidRPr="001B6395" w:rsidRDefault="00BA4FC4" w:rsidP="001B6395">
      <w:pPr>
        <w:pStyle w:val="Dotpoint1"/>
      </w:pPr>
      <w:r>
        <w:t>P</w:t>
      </w:r>
      <w:r w:rsidR="001B6395" w:rsidRPr="001B6395">
        <w:t>ractitioners work in a range of workplaces that include government and non-government agencies</w:t>
      </w:r>
      <w:r>
        <w:t>.</w:t>
      </w:r>
    </w:p>
    <w:p w:rsidR="001B6395" w:rsidRPr="001B6395" w:rsidRDefault="00BA4FC4" w:rsidP="00BA4FC4">
      <w:pPr>
        <w:pStyle w:val="Dotpoint1"/>
        <w:ind w:left="720" w:hanging="720"/>
      </w:pPr>
      <w:r>
        <w:t>T</w:t>
      </w:r>
      <w:r w:rsidR="001B6395" w:rsidRPr="001B6395">
        <w:t>he majority of the workforce is female</w:t>
      </w:r>
      <w:r>
        <w:t>.</w:t>
      </w:r>
    </w:p>
    <w:p w:rsidR="001B6395" w:rsidRPr="001B6395" w:rsidRDefault="00BA4FC4" w:rsidP="001B6395">
      <w:pPr>
        <w:pStyle w:val="Dotpoint1"/>
      </w:pPr>
      <w:r>
        <w:t>T</w:t>
      </w:r>
      <w:r w:rsidR="001B6395" w:rsidRPr="001B6395">
        <w:t>he workforce is aging (predominantly aged over 45 years old)</w:t>
      </w:r>
      <w:r>
        <w:t>.</w:t>
      </w:r>
    </w:p>
    <w:p w:rsidR="001B6395" w:rsidRPr="001B6395" w:rsidRDefault="00BA4FC4" w:rsidP="001B6395">
      <w:pPr>
        <w:pStyle w:val="Dotpoint1"/>
      </w:pPr>
      <w:r>
        <w:t>W</w:t>
      </w:r>
      <w:r w:rsidR="001B6395" w:rsidRPr="001B6395">
        <w:t xml:space="preserve">orkers are highly qualified, with most holding a </w:t>
      </w:r>
      <w:r w:rsidRPr="001B6395">
        <w:t xml:space="preserve">bachelor degree </w:t>
      </w:r>
      <w:r w:rsidR="001B6395" w:rsidRPr="001B6395">
        <w:t>or equivalent</w:t>
      </w:r>
      <w:r>
        <w:t>.</w:t>
      </w:r>
    </w:p>
    <w:p w:rsidR="001B6395" w:rsidRPr="001B6395" w:rsidRDefault="00BA4FC4" w:rsidP="001B6395">
      <w:pPr>
        <w:pStyle w:val="Dotpoint1"/>
      </w:pPr>
      <w:r>
        <w:t>T</w:t>
      </w:r>
      <w:r w:rsidR="001B6395" w:rsidRPr="001B6395">
        <w:t>here are no formal mechanisms, such as a national register, t</w:t>
      </w:r>
      <w:r>
        <w:t>o</w:t>
      </w:r>
      <w:r w:rsidR="001B6395" w:rsidRPr="001B6395">
        <w:t xml:space="preserve"> connect participants of the workforce.</w:t>
      </w:r>
    </w:p>
    <w:p w:rsidR="00BA0A7A" w:rsidRDefault="001B6395" w:rsidP="009F19BC">
      <w:pPr>
        <w:pStyle w:val="Text"/>
        <w:rPr>
          <w:rStyle w:val="TextChar"/>
        </w:rPr>
      </w:pPr>
      <w:r w:rsidRPr="009F19BC">
        <w:rPr>
          <w:rStyle w:val="TextChar"/>
        </w:rPr>
        <w:t>Within the literature three</w:t>
      </w:r>
      <w:r w:rsidR="009F4558" w:rsidRPr="009F19BC">
        <w:rPr>
          <w:rStyle w:val="TextChar"/>
        </w:rPr>
        <w:t xml:space="preserve"> factors create inconsistency when</w:t>
      </w:r>
      <w:r w:rsidRPr="009F19BC">
        <w:rPr>
          <w:rStyle w:val="TextChar"/>
        </w:rPr>
        <w:t xml:space="preserve"> comparing and synthesising information about the </w:t>
      </w:r>
      <w:r w:rsidR="00BE7E2A" w:rsidRPr="009F19BC">
        <w:rPr>
          <w:rStyle w:val="TextChar"/>
        </w:rPr>
        <w:t>literacy and numeracy</w:t>
      </w:r>
      <w:r w:rsidR="00BA0A7A">
        <w:rPr>
          <w:rStyle w:val="TextChar"/>
        </w:rPr>
        <w:t xml:space="preserve"> workforce:</w:t>
      </w:r>
    </w:p>
    <w:p w:rsidR="00BA0A7A" w:rsidRDefault="001B6395" w:rsidP="00BA0A7A">
      <w:pPr>
        <w:pStyle w:val="Dotpoint1"/>
        <w:rPr>
          <w:rStyle w:val="TextChar"/>
        </w:rPr>
      </w:pPr>
      <w:r w:rsidRPr="009F19BC">
        <w:rPr>
          <w:rStyle w:val="TextChar"/>
        </w:rPr>
        <w:t xml:space="preserve">Firstly, the content they teach is covered by a broad </w:t>
      </w:r>
      <w:r w:rsidR="009F4558" w:rsidRPr="009F19BC">
        <w:rPr>
          <w:rStyle w:val="TextChar"/>
        </w:rPr>
        <w:t xml:space="preserve">range of terms, </w:t>
      </w:r>
      <w:r w:rsidRPr="009F19BC">
        <w:rPr>
          <w:rStyle w:val="TextChar"/>
        </w:rPr>
        <w:t>such as: literacy and numeracy; foundation skills; core skills; basic skills; language, literacy and numeracy; essential skills; basic education; life</w:t>
      </w:r>
      <w:r w:rsidR="00BA0A7A">
        <w:rPr>
          <w:rStyle w:val="TextChar"/>
        </w:rPr>
        <w:t xml:space="preserve"> skills; and further education.</w:t>
      </w:r>
    </w:p>
    <w:p w:rsidR="00BA0A7A" w:rsidRDefault="001B6395" w:rsidP="00BA0A7A">
      <w:pPr>
        <w:pStyle w:val="Dotpoint1"/>
      </w:pPr>
      <w:r w:rsidRPr="009F19BC">
        <w:rPr>
          <w:rStyle w:val="TextChar"/>
        </w:rPr>
        <w:lastRenderedPageBreak/>
        <w:t xml:space="preserve">Secondly, the terminology </w:t>
      </w:r>
      <w:r w:rsidR="009F4558" w:rsidRPr="009F19BC">
        <w:rPr>
          <w:rStyle w:val="TextChar"/>
        </w:rPr>
        <w:t>relating to</w:t>
      </w:r>
      <w:r w:rsidRPr="009F19BC">
        <w:rPr>
          <w:rStyle w:val="TextChar"/>
        </w:rPr>
        <w:t xml:space="preserve"> the workforce itself is </w:t>
      </w:r>
      <w:r w:rsidRPr="00E75D99">
        <w:t xml:space="preserve">inconsistent and includes labels such as teacher, educator, practitioner, assessor, specialist, trainer and tutor. </w:t>
      </w:r>
    </w:p>
    <w:p w:rsidR="00BA0A7A" w:rsidRDefault="001B6395" w:rsidP="00BA0A7A">
      <w:pPr>
        <w:pStyle w:val="Dotpoint1"/>
      </w:pPr>
      <w:r w:rsidRPr="00E75D99">
        <w:t xml:space="preserve">Thirdly, adult </w:t>
      </w:r>
      <w:r w:rsidR="006B1832" w:rsidRPr="00B63C6C">
        <w:t>literacy and numeracy</w:t>
      </w:r>
      <w:r w:rsidRPr="00E75D99">
        <w:t xml:space="preserve"> workers might engage with learners in the community, in their homes, in an evening college, in a local health centre, at an educational institution, in a correctional centre, at a registered educational provider, online, in a homeless shelter or refuge, in a workplace, or in what Cuban refers to as ‘borderlands, areas outside of formal educational frameworks’ (Cuban 2009, p.5). </w:t>
      </w:r>
    </w:p>
    <w:p w:rsidR="001B6395" w:rsidRPr="00E75D99" w:rsidRDefault="001B6395" w:rsidP="00BA0A7A">
      <w:pPr>
        <w:pStyle w:val="Text"/>
      </w:pPr>
      <w:r w:rsidRPr="00E75D99">
        <w:t xml:space="preserve">Without a centralised register by which to locate the </w:t>
      </w:r>
      <w:r w:rsidR="006B1832" w:rsidRPr="00B63C6C">
        <w:t>literacy and numeracy</w:t>
      </w:r>
      <w:r w:rsidRPr="00E75D99">
        <w:t xml:space="preserve"> workforce, identification of who</w:t>
      </w:r>
      <w:r w:rsidR="009F4558">
        <w:t>m</w:t>
      </w:r>
      <w:r w:rsidRPr="00E75D99">
        <w:t xml:space="preserve"> to include in research is problematic. </w:t>
      </w:r>
    </w:p>
    <w:p w:rsidR="001B6395" w:rsidRPr="00AE435D" w:rsidRDefault="001B6395" w:rsidP="009F19BC">
      <w:pPr>
        <w:pStyle w:val="Text"/>
      </w:pPr>
      <w:r w:rsidRPr="00E75D99">
        <w:t xml:space="preserve">A common technique in much of the reviewed research into the </w:t>
      </w:r>
      <w:r w:rsidR="006B1832" w:rsidRPr="00B63C6C">
        <w:t>literacy and numeracy</w:t>
      </w:r>
      <w:r w:rsidRPr="00E75D99">
        <w:t xml:space="preserve"> workforce is that of allowing research participants to self-identify as </w:t>
      </w:r>
      <w:r w:rsidR="00BE7E2A">
        <w:t>literacy and numeracy</w:t>
      </w:r>
      <w:r w:rsidRPr="00E75D99">
        <w:t xml:space="preserve"> specialists. This may introduce methodolo</w:t>
      </w:r>
      <w:r w:rsidR="00BA4FC4">
        <w:t>gical flaws in the research, which</w:t>
      </w:r>
      <w:r w:rsidRPr="00E75D99">
        <w:t xml:space="preserve"> should be considered when reading results. For example</w:t>
      </w:r>
      <w:r w:rsidR="00BA4FC4">
        <w:t>,</w:t>
      </w:r>
      <w:r w:rsidRPr="00E75D99">
        <w:t xml:space="preserve"> where a large proportion of the workforce is part-time, contracted or casual, they may not see their role as qualifying for survey or research parti</w:t>
      </w:r>
      <w:r w:rsidRPr="00AE435D">
        <w:t>cipation, where non-experts are ignorant of the criteria of expertise and therefore self-identify</w:t>
      </w:r>
      <w:r w:rsidR="009F4558">
        <w:t>,</w:t>
      </w:r>
      <w:r w:rsidRPr="00AE435D">
        <w:t xml:space="preserve"> or where those at grassroots who are ‘doing’ have the least time available to participate in research.</w:t>
      </w:r>
    </w:p>
    <w:p w:rsidR="001B6395" w:rsidRPr="009F19BC" w:rsidRDefault="001B6395" w:rsidP="009F19BC">
      <w:pPr>
        <w:pStyle w:val="Heading2"/>
      </w:pPr>
      <w:bookmarkStart w:id="32" w:name="_Toc468885400"/>
      <w:r w:rsidRPr="009F19BC">
        <w:t xml:space="preserve">The Australian </w:t>
      </w:r>
      <w:r w:rsidR="00F61AC2" w:rsidRPr="009F19BC">
        <w:t>literacy and numeracy</w:t>
      </w:r>
      <w:r w:rsidRPr="009F19BC">
        <w:t xml:space="preserve"> workforce</w:t>
      </w:r>
      <w:bookmarkEnd w:id="32"/>
    </w:p>
    <w:p w:rsidR="001B6395" w:rsidRPr="009F19BC" w:rsidRDefault="001B6395" w:rsidP="009F19BC">
      <w:pPr>
        <w:pStyle w:val="Text"/>
      </w:pPr>
      <w:r w:rsidRPr="009F19BC">
        <w:t xml:space="preserve">In Australia there </w:t>
      </w:r>
      <w:r w:rsidR="00BA4FC4" w:rsidRPr="009F19BC">
        <w:t>are</w:t>
      </w:r>
      <w:r w:rsidR="009F4558" w:rsidRPr="009F19BC">
        <w:t xml:space="preserve"> no current data relating sole</w:t>
      </w:r>
      <w:r w:rsidRPr="009F19BC">
        <w:t xml:space="preserve">ly to the </w:t>
      </w:r>
      <w:r w:rsidR="00BE7E2A" w:rsidRPr="009F19BC">
        <w:t>literacy and numeracy</w:t>
      </w:r>
      <w:r w:rsidRPr="009F19BC">
        <w:t xml:space="preserve"> workforce. A summary by Perkins (2009) found that </w:t>
      </w:r>
      <w:r w:rsidR="006B1832" w:rsidRPr="009F19BC">
        <w:t>literacy and numeracy</w:t>
      </w:r>
      <w:r w:rsidRPr="009F19BC">
        <w:t xml:space="preserve"> was being taught b</w:t>
      </w:r>
      <w:r w:rsidR="007C22D7">
        <w:t>y</w:t>
      </w:r>
      <w:bookmarkStart w:id="33" w:name="_GoBack"/>
      <w:bookmarkEnd w:id="33"/>
      <w:r w:rsidRPr="009F19BC">
        <w:t xml:space="preserve"> specialists, practitioners with TESOL qualifications, WELL practitioners, vocational trainers and volunteer </w:t>
      </w:r>
      <w:r w:rsidR="00BE7E2A" w:rsidRPr="009F19BC">
        <w:t>literacy and numeracy</w:t>
      </w:r>
      <w:r w:rsidRPr="009F19BC">
        <w:t xml:space="preserve"> tutors. More recently</w:t>
      </w:r>
      <w:r w:rsidR="00BA4FC4" w:rsidRPr="009F19BC">
        <w:t>,</w:t>
      </w:r>
      <w:r w:rsidRPr="009F19BC">
        <w:t xml:space="preserve"> members of the </w:t>
      </w:r>
      <w:r w:rsidR="00BE7E2A" w:rsidRPr="009F19BC">
        <w:t>literacy and numeracy</w:t>
      </w:r>
      <w:r w:rsidRPr="009F19BC">
        <w:t xml:space="preserve"> workforce have been included in </w:t>
      </w:r>
      <w:r w:rsidR="00BA0A7A">
        <w:t>a</w:t>
      </w:r>
      <w:r w:rsidRPr="009F19BC">
        <w:t xml:space="preserve"> study of the foundation skills workforce by Circelli (2015). In order to determine who delivers foundation skills in Australia, Circelli (2015) conducted a survey with volunteer respondents using convenience sampling. Convenience sampling was undertaken because there was no central register of foundation skills workers or a known sampling frame. Respondents were drawn from the areas of literacy, numeracy, language and employment skills and a range of employment settings</w:t>
      </w:r>
      <w:r w:rsidR="009F4558" w:rsidRPr="009F19BC">
        <w:t>,</w:t>
      </w:r>
      <w:r w:rsidRPr="009F19BC">
        <w:t xml:space="preserve"> including TAFE</w:t>
      </w:r>
      <w:r w:rsidR="00BA0A7A">
        <w:t xml:space="preserve"> institutes</w:t>
      </w:r>
      <w:r w:rsidRPr="009F19BC">
        <w:t xml:space="preserve"> (the largest employer</w:t>
      </w:r>
      <w:r w:rsidR="00BA4FC4" w:rsidRPr="009F19BC">
        <w:t>,</w:t>
      </w:r>
      <w:r w:rsidRPr="009F19BC">
        <w:t xml:space="preserve"> at 41.4%), private training and/or education providers, community organisations, correctional centres, schools and government agencies (Circelli</w:t>
      </w:r>
      <w:r w:rsidR="00BA4FC4" w:rsidRPr="009F19BC">
        <w:t xml:space="preserve"> 2015</w:t>
      </w:r>
      <w:r w:rsidRPr="009F19BC">
        <w:t>). The roles repor</w:t>
      </w:r>
      <w:r w:rsidR="009F4558" w:rsidRPr="009F19BC">
        <w:t>ted by participants were varied:</w:t>
      </w:r>
      <w:r w:rsidRPr="009F19BC">
        <w:t xml:space="preserve"> they covered direct delivery through to support roles such as resource development, pathways and support, capa</w:t>
      </w:r>
      <w:r w:rsidR="009F4558" w:rsidRPr="009F19BC">
        <w:t>city building and administration</w:t>
      </w:r>
      <w:r w:rsidRPr="009F19BC">
        <w:t>-related roles</w:t>
      </w:r>
      <w:r w:rsidR="006B1832" w:rsidRPr="009F19BC">
        <w:t>.</w:t>
      </w:r>
      <w:r w:rsidRPr="009F19BC">
        <w:t xml:space="preserve"> The results revealed almost 80% were female and 78.8% were 45 years old or above. More than half </w:t>
      </w:r>
      <w:r w:rsidR="00BA4FC4" w:rsidRPr="009F19BC">
        <w:t xml:space="preserve">of </w:t>
      </w:r>
      <w:r w:rsidRPr="009F19BC">
        <w:t>the respondents were employed on a full-time basis and most were highly qualified, with many holding several qualifications. For example, collectively, respondents to the survey held 687 qualifications at a bachelor degree level or above</w:t>
      </w:r>
      <w:r w:rsidR="006B1832" w:rsidRPr="009F19BC">
        <w:t xml:space="preserve"> (Circelli</w:t>
      </w:r>
      <w:r w:rsidR="00BA4FC4" w:rsidRPr="009F19BC">
        <w:t xml:space="preserve"> 2015</w:t>
      </w:r>
      <w:r w:rsidR="006B1832" w:rsidRPr="009F19BC">
        <w:t>).</w:t>
      </w:r>
    </w:p>
    <w:p w:rsidR="001B6395" w:rsidRPr="009F19BC" w:rsidRDefault="001B6395" w:rsidP="009F19BC">
      <w:pPr>
        <w:pStyle w:val="Text"/>
      </w:pPr>
      <w:r w:rsidRPr="009F19BC">
        <w:t>Although the Australian survey results show that the existing foundation skills workforce is well qualified</w:t>
      </w:r>
      <w:r w:rsidR="006B1832" w:rsidRPr="009F19BC">
        <w:t xml:space="preserve"> (Circelli 2015)</w:t>
      </w:r>
      <w:r w:rsidRPr="009F19BC">
        <w:t xml:space="preserve">, the strong relationship between vocational education and training and the </w:t>
      </w:r>
      <w:r w:rsidR="006B1832" w:rsidRPr="009F19BC">
        <w:t>literacy and numeracy</w:t>
      </w:r>
      <w:r w:rsidRPr="009F19BC">
        <w:t xml:space="preserve"> workforce could result in a trend toward lower qualifications in the future. The VET sector continues to require only a certificate IV level qualification (or in some cases no qualification if supervised by a person with a Certificate IV in Training and Assessment). For vocational teachers </w:t>
      </w:r>
      <w:r w:rsidR="006B1832" w:rsidRPr="009F19BC">
        <w:t>the ce</w:t>
      </w:r>
      <w:r w:rsidRPr="009F19BC">
        <w:t xml:space="preserve">rtificate IV is coupled with occupational (industry area) expertise (Hodge 2015). However, challenges arise for </w:t>
      </w:r>
      <w:r w:rsidR="006B1832" w:rsidRPr="009F19BC">
        <w:t xml:space="preserve">literacy </w:t>
      </w:r>
      <w:r w:rsidR="006B1832" w:rsidRPr="009F19BC">
        <w:lastRenderedPageBreak/>
        <w:t>and numeracy</w:t>
      </w:r>
      <w:r w:rsidRPr="009F19BC">
        <w:t xml:space="preserve"> practitioners</w:t>
      </w:r>
      <w:r w:rsidR="009F4558" w:rsidRPr="009F19BC">
        <w:t>,</w:t>
      </w:r>
      <w:r w:rsidRPr="009F19BC">
        <w:t xml:space="preserve"> whose expertise is enhanced by high educational qualifications because teaching or education is their ‘industry’</w:t>
      </w:r>
      <w:r w:rsidR="006B1832" w:rsidRPr="009F19BC">
        <w:t xml:space="preserve">. </w:t>
      </w:r>
      <w:r w:rsidR="00BA4FC4" w:rsidRPr="009F19BC">
        <w:t>Higher-</w:t>
      </w:r>
      <w:r w:rsidRPr="009F19BC">
        <w:t>level qualifications, part</w:t>
      </w:r>
      <w:r w:rsidR="00BA4FC4" w:rsidRPr="009F19BC">
        <w:t>icularly knowledge-</w:t>
      </w:r>
      <w:r w:rsidRPr="009F19BC">
        <w:t>based qualifications, develop metacognitive understandings or ‘access to the style of reasoning within disciplinary structures of knowledge’ (</w:t>
      </w:r>
      <w:proofErr w:type="spellStart"/>
      <w:r w:rsidRPr="009F19BC">
        <w:t>Wheelahan</w:t>
      </w:r>
      <w:proofErr w:type="spellEnd"/>
      <w:r w:rsidRPr="009F19BC">
        <w:t xml:space="preserve"> 2007, p.638).</w:t>
      </w:r>
      <w:r w:rsidR="00BA4FC4" w:rsidRPr="009F19BC">
        <w:t xml:space="preserve"> </w:t>
      </w:r>
      <w:r w:rsidRPr="009F19BC">
        <w:t>The risk is magnified by the age demographics of the workforce, which suggest many experienced and highly qualified practitioners will leave the workforce in the coming decades and may be replaced by practitione</w:t>
      </w:r>
      <w:r w:rsidR="006B1832" w:rsidRPr="009F19BC">
        <w:t>rs who have competency–based c</w:t>
      </w:r>
      <w:r w:rsidRPr="009F19BC">
        <w:t>ertificate IV qualifications rat</w:t>
      </w:r>
      <w:r w:rsidR="00BA4FC4" w:rsidRPr="009F19BC">
        <w:t>her than knowledge-based higher-</w:t>
      </w:r>
      <w:r w:rsidRPr="009F19BC">
        <w:t>level qualifications, such as those from a university.</w:t>
      </w:r>
    </w:p>
    <w:p w:rsidR="001B6395" w:rsidRPr="009F19BC" w:rsidRDefault="001B6395" w:rsidP="009F19BC">
      <w:pPr>
        <w:pStyle w:val="Heading2"/>
      </w:pPr>
      <w:bookmarkStart w:id="34" w:name="_Toc468885401"/>
      <w:r w:rsidRPr="009F19BC">
        <w:t>International comparisons</w:t>
      </w:r>
      <w:bookmarkEnd w:id="34"/>
    </w:p>
    <w:p w:rsidR="001B6395" w:rsidRPr="009F19BC" w:rsidRDefault="00BA4FC4" w:rsidP="009F19BC">
      <w:pPr>
        <w:pStyle w:val="Text"/>
      </w:pPr>
      <w:r w:rsidRPr="009F19BC">
        <w:t>Data exist</w:t>
      </w:r>
      <w:r w:rsidR="001B6395" w:rsidRPr="009F19BC">
        <w:t xml:space="preserve"> for Canada, the UK and, to a lesser degree, New Zealand. In each instance </w:t>
      </w:r>
      <w:r w:rsidR="009F4558" w:rsidRPr="009F19BC">
        <w:t xml:space="preserve">the </w:t>
      </w:r>
      <w:r w:rsidR="001B6395" w:rsidRPr="009F19BC">
        <w:t xml:space="preserve">researchers faced similar issues of how to identify the </w:t>
      </w:r>
      <w:r w:rsidR="007A6CE5" w:rsidRPr="009F19BC">
        <w:t>literacy and numeracy</w:t>
      </w:r>
      <w:r w:rsidR="001B6395" w:rsidRPr="009F19BC">
        <w:t xml:space="preserve"> workforce in order to obtain a representative sample. </w:t>
      </w:r>
      <w:proofErr w:type="spellStart"/>
      <w:r w:rsidR="001B6395" w:rsidRPr="009F19BC">
        <w:t>Leckie</w:t>
      </w:r>
      <w:proofErr w:type="spellEnd"/>
      <w:r w:rsidR="001B6395" w:rsidRPr="009F19BC">
        <w:t xml:space="preserve"> et al. (2014) surveyed the Canadian literacy and essential skills workforce using convenience sampling. Without a master list of practitioners, identifying who to include in the survey was problematic. The team therefore used a top-down approach by contacting organisations</w:t>
      </w:r>
      <w:r w:rsidRPr="009F19BC">
        <w:t>,</w:t>
      </w:r>
      <w:r w:rsidR="001B6395" w:rsidRPr="009F19BC">
        <w:t xml:space="preserve"> who were asked to distribute the survey to practitioners. The original target was 3000 </w:t>
      </w:r>
      <w:r w:rsidRPr="009F19BC">
        <w:t>from an estimated 50 </w:t>
      </w:r>
      <w:r w:rsidR="001B6395" w:rsidRPr="009F19BC">
        <w:t>000 practitioners, but only 1575 respondents participated, with 690 surveys used (because those respondents answered more than half the questions). The results revealed</w:t>
      </w:r>
      <w:r w:rsidR="009F4558" w:rsidRPr="009F19BC">
        <w:t xml:space="preserve"> that</w:t>
      </w:r>
      <w:r w:rsidR="001B6395" w:rsidRPr="009F19BC">
        <w:t xml:space="preserve"> 86% of the </w:t>
      </w:r>
      <w:r w:rsidR="00BA0A7A" w:rsidRPr="009F19BC">
        <w:t xml:space="preserve">workforce surveyed </w:t>
      </w:r>
      <w:r w:rsidR="00BA0A7A">
        <w:t>was</w:t>
      </w:r>
      <w:r w:rsidR="001B6395" w:rsidRPr="009F19BC">
        <w:t xml:space="preserve"> female, 71% were aged 45 years or older and more than half were employed permanently (</w:t>
      </w:r>
      <w:proofErr w:type="spellStart"/>
      <w:r w:rsidR="001B6395" w:rsidRPr="009F19BC">
        <w:t>Leckie</w:t>
      </w:r>
      <w:proofErr w:type="spellEnd"/>
      <w:r w:rsidR="001B6395" w:rsidRPr="009F19BC">
        <w:t xml:space="preserve"> et al. 2014). Workplaces were diverse, with respondents working across seven provider types and a further 9% working in ‘other’ places. Respondents were well qualified, with 75% holding a bachelor degree or higher.</w:t>
      </w:r>
    </w:p>
    <w:p w:rsidR="001B6395" w:rsidRPr="009F19BC" w:rsidRDefault="001B6395" w:rsidP="009F19BC">
      <w:pPr>
        <w:pStyle w:val="Text"/>
      </w:pPr>
      <w:r w:rsidRPr="009F19BC">
        <w:t>In the UK Cara et al. (2010) gathered data through a longitudinal panel survey of teachers involved in the National Skills for Life progr</w:t>
      </w:r>
      <w:r w:rsidR="008F2894" w:rsidRPr="009F19BC">
        <w:t>am over several years (2004—</w:t>
      </w:r>
      <w:r w:rsidRPr="009F19BC">
        <w:t xml:space="preserve">07). Initially the researchers sought to randomly select 1500 participants from 245 different educational providers with six different types of funding sources. The plan was altered as it was difficult to secure participation; instead 1027 volunteers were contacted via existing networks </w:t>
      </w:r>
      <w:r w:rsidR="00BA0A7A">
        <w:br/>
      </w:r>
      <w:r w:rsidRPr="009F19BC">
        <w:t>(Cara et al. 2010). By the second survey there wer</w:t>
      </w:r>
      <w:r w:rsidR="008F2894" w:rsidRPr="009F19BC">
        <w:t>e 755 remaining participants, with</w:t>
      </w:r>
      <w:r w:rsidRPr="009F19BC">
        <w:t xml:space="preserve"> 560 by the final survey. In order to resolve inconsistencies caused by the att</w:t>
      </w:r>
      <w:r w:rsidR="009F4558" w:rsidRPr="009F19BC">
        <w:t>rition rate, the survey data were</w:t>
      </w:r>
      <w:r w:rsidRPr="009F19BC">
        <w:t xml:space="preserve"> adjusted to produce a ‘snapshot survey’. Of the workforce surveyed</w:t>
      </w:r>
      <w:r w:rsidR="008F2894" w:rsidRPr="009F19BC">
        <w:t>,</w:t>
      </w:r>
      <w:r w:rsidRPr="009F19BC">
        <w:t xml:space="preserve"> 77% were female, 68% were aged 4</w:t>
      </w:r>
      <w:r w:rsidR="008F2894" w:rsidRPr="009F19BC">
        <w:t>0 years or older and around one-</w:t>
      </w:r>
      <w:r w:rsidRPr="009F19BC">
        <w:t>third were employed permanently (Cara et al. 2010). Respondents were highly qualified, with 38% holding a doctorate, master’s degree, postgraduate certificate or diploma and 30% holding a bachelor degree, graduate certificate or diploma.</w:t>
      </w:r>
    </w:p>
    <w:p w:rsidR="009F19BC" w:rsidRDefault="001B6395" w:rsidP="009F19BC">
      <w:pPr>
        <w:pStyle w:val="Text"/>
      </w:pPr>
      <w:r w:rsidRPr="009F19BC">
        <w:t xml:space="preserve">In New Zealand </w:t>
      </w:r>
      <w:proofErr w:type="spellStart"/>
      <w:r w:rsidRPr="009F19BC">
        <w:t>Benseman</w:t>
      </w:r>
      <w:proofErr w:type="spellEnd"/>
      <w:r w:rsidRPr="009F19BC">
        <w:t xml:space="preserve"> (2014) prepared a general summary of the </w:t>
      </w:r>
      <w:r w:rsidR="00BE7E2A" w:rsidRPr="009F19BC">
        <w:t>literacy and numeracy</w:t>
      </w:r>
      <w:r w:rsidRPr="009F19BC">
        <w:t xml:space="preserve"> workforce by surveying practitioners who had enrolled in the National Certificate in Adult Literacy and Numeracy Education. </w:t>
      </w:r>
      <w:proofErr w:type="spellStart"/>
      <w:r w:rsidRPr="009F19BC">
        <w:t>Benseman</w:t>
      </w:r>
      <w:proofErr w:type="spellEnd"/>
      <w:r w:rsidRPr="009F19BC">
        <w:t xml:space="preserve"> found that there was no centralised database and located participants by contacting course providers, who in turn contacted the participa</w:t>
      </w:r>
      <w:r w:rsidR="008F2894" w:rsidRPr="009F19BC">
        <w:t xml:space="preserve">nts. </w:t>
      </w:r>
      <w:r w:rsidRPr="009F19BC">
        <w:t>There were 217 respondents (</w:t>
      </w:r>
      <w:r w:rsidR="008F2894" w:rsidRPr="009F19BC">
        <w:t>from</w:t>
      </w:r>
      <w:r w:rsidRPr="009F19BC">
        <w:t xml:space="preserve"> approximately 2000 educators who had enrolled in the </w:t>
      </w:r>
      <w:r w:rsidR="00BE7E2A" w:rsidRPr="009F19BC">
        <w:t>c</w:t>
      </w:r>
      <w:r w:rsidRPr="009F19BC">
        <w:t xml:space="preserve">ertificate at some stage) and </w:t>
      </w:r>
      <w:proofErr w:type="spellStart"/>
      <w:r w:rsidRPr="009F19BC">
        <w:t>Benseman</w:t>
      </w:r>
      <w:proofErr w:type="spellEnd"/>
      <w:r w:rsidRPr="009F19BC">
        <w:t xml:space="preserve"> states it is not known how representative the results are. Of the workforce surveyed</w:t>
      </w:r>
      <w:r w:rsidR="008F2894" w:rsidRPr="009F19BC">
        <w:t>,</w:t>
      </w:r>
      <w:r w:rsidRPr="009F19BC">
        <w:t xml:space="preserve"> 70% were female and 69% were aged 45 years or older. Seven types of workplaces were identified and 45.2% of respondents held a degree or higher.</w:t>
      </w:r>
    </w:p>
    <w:p w:rsidR="009F19BC" w:rsidRDefault="009F19BC">
      <w:pPr>
        <w:spacing w:before="0" w:line="240" w:lineRule="auto"/>
      </w:pPr>
      <w:r>
        <w:br w:type="page"/>
      </w:r>
    </w:p>
    <w:p w:rsidR="001B6395" w:rsidRPr="001B6395" w:rsidRDefault="001B6395" w:rsidP="009F19BC">
      <w:pPr>
        <w:pStyle w:val="Heading2"/>
        <w:spacing w:before="0"/>
      </w:pPr>
      <w:bookmarkStart w:id="35" w:name="_Toc468885402"/>
      <w:r w:rsidRPr="001B6395">
        <w:lastRenderedPageBreak/>
        <w:t>Non-pr</w:t>
      </w:r>
      <w:r w:rsidR="00F61AC2">
        <w:t>ofessionals in the Australian literacy and numeracy</w:t>
      </w:r>
      <w:r w:rsidRPr="001B6395">
        <w:t xml:space="preserve"> field</w:t>
      </w:r>
      <w:bookmarkEnd w:id="35"/>
    </w:p>
    <w:p w:rsidR="001B6395" w:rsidRPr="009F19BC" w:rsidRDefault="001B6395" w:rsidP="009F19BC">
      <w:pPr>
        <w:pStyle w:val="Text"/>
      </w:pPr>
      <w:r w:rsidRPr="009F19BC">
        <w:t xml:space="preserve">Non-professionals in the Australian </w:t>
      </w:r>
      <w:r w:rsidR="007A6CE5" w:rsidRPr="009F19BC">
        <w:t>literacy and numeracy</w:t>
      </w:r>
      <w:r w:rsidRPr="009F19BC">
        <w:t xml:space="preserve"> field include paid tutors (without recognised qualifications), volunteers</w:t>
      </w:r>
      <w:r w:rsidR="008F2894" w:rsidRPr="009F19BC">
        <w:t>,</w:t>
      </w:r>
      <w:r w:rsidRPr="009F19BC">
        <w:t xml:space="preserve"> and the adult learners themselves. For example, community members are trained to run </w:t>
      </w:r>
      <w:r w:rsidR="007A6CE5" w:rsidRPr="009F19BC">
        <w:t>literacy and numeracy</w:t>
      </w:r>
      <w:r w:rsidRPr="009F19BC">
        <w:t xml:space="preserve"> classes in a program that uses a mass adult literacy campaign model in Australia (</w:t>
      </w:r>
      <w:proofErr w:type="spellStart"/>
      <w:r w:rsidRPr="009F19BC">
        <w:t>Boughton</w:t>
      </w:r>
      <w:proofErr w:type="spellEnd"/>
      <w:r w:rsidRPr="009F19BC">
        <w:t xml:space="preserve"> et al. 2014). Yes I Can has been running since 2012 in remote Australian Aboriginal communities </w:t>
      </w:r>
      <w:r w:rsidR="008F2894" w:rsidRPr="009F19BC">
        <w:t xml:space="preserve">and is </w:t>
      </w:r>
      <w:r w:rsidRPr="009F19BC">
        <w:t>coordinated by a central campaign authority</w:t>
      </w:r>
      <w:r w:rsidR="008F2894" w:rsidRPr="009F19BC">
        <w:t>,</w:t>
      </w:r>
      <w:r w:rsidRPr="009F19BC">
        <w:t xml:space="preserve"> consisting of Aboriginal leaders in health and education, university staff and the local land council (</w:t>
      </w:r>
      <w:proofErr w:type="spellStart"/>
      <w:r w:rsidRPr="009F19BC">
        <w:t>Boughton</w:t>
      </w:r>
      <w:proofErr w:type="spellEnd"/>
      <w:r w:rsidRPr="009F19BC">
        <w:t xml:space="preserve"> et al. 2014, p</w:t>
      </w:r>
      <w:r w:rsidR="008F2894" w:rsidRPr="009F19BC">
        <w:t>p</w:t>
      </w:r>
      <w:r w:rsidRPr="009F19BC">
        <w:t>.</w:t>
      </w:r>
      <w:r w:rsidR="008F2894" w:rsidRPr="009F19BC">
        <w:t>5—</w:t>
      </w:r>
      <w:r w:rsidRPr="009F19BC">
        <w:t>6). The lessons themselves are taught by local people</w:t>
      </w:r>
      <w:r w:rsidR="009F4558" w:rsidRPr="009F19BC">
        <w:t>, who</w:t>
      </w:r>
      <w:r w:rsidRPr="009F19BC">
        <w:t xml:space="preserve"> us</w:t>
      </w:r>
      <w:r w:rsidR="009F4558" w:rsidRPr="009F19BC">
        <w:t>e</w:t>
      </w:r>
      <w:r w:rsidRPr="009F19BC">
        <w:t xml:space="preserve"> materials provided by the central campaign authority and </w:t>
      </w:r>
      <w:r w:rsidR="009F4558" w:rsidRPr="009F19BC">
        <w:t xml:space="preserve">which are </w:t>
      </w:r>
      <w:r w:rsidRPr="009F19BC">
        <w:t>based upon a structured pedagogy (</w:t>
      </w:r>
      <w:proofErr w:type="spellStart"/>
      <w:r w:rsidRPr="009F19BC">
        <w:t>Boughton</w:t>
      </w:r>
      <w:proofErr w:type="spellEnd"/>
      <w:r w:rsidRPr="009F19BC">
        <w:t xml:space="preserve"> &amp; </w:t>
      </w:r>
      <w:proofErr w:type="spellStart"/>
      <w:r w:rsidRPr="009F19BC">
        <w:t>Durnan</w:t>
      </w:r>
      <w:proofErr w:type="spellEnd"/>
      <w:r w:rsidRPr="009F19BC">
        <w:t xml:space="preserve"> 2014). Workforce development is embedded in the program: the materials teach the students how to become literacy learners and simultaneously train the local facilitators in how to deliver the lessons (</w:t>
      </w:r>
      <w:proofErr w:type="spellStart"/>
      <w:r w:rsidRPr="009F19BC">
        <w:t>Boughton</w:t>
      </w:r>
      <w:proofErr w:type="spellEnd"/>
      <w:r w:rsidRPr="009F19BC">
        <w:t xml:space="preserve"> et al. 2014). Formative assessment occurs as students complete the class activities, which have been mapped against the </w:t>
      </w:r>
      <w:r w:rsidR="008F2894" w:rsidRPr="009F19BC">
        <w:t>Australian Core Skills Framework</w:t>
      </w:r>
      <w:r w:rsidRPr="009F19BC">
        <w:t>. The results are reported as positive: the pilot programs had completion rates of 57.5% to 74.4% (</w:t>
      </w:r>
      <w:proofErr w:type="spellStart"/>
      <w:r w:rsidRPr="009F19BC">
        <w:t>Boughton</w:t>
      </w:r>
      <w:proofErr w:type="spellEnd"/>
      <w:r w:rsidRPr="009F19BC">
        <w:t xml:space="preserve"> et al. 2014). </w:t>
      </w:r>
    </w:p>
    <w:p w:rsidR="001B6395" w:rsidRPr="009F19BC" w:rsidRDefault="001B6395" w:rsidP="009F19BC">
      <w:pPr>
        <w:pStyle w:val="Text"/>
      </w:pPr>
      <w:r w:rsidRPr="009F19BC">
        <w:t>Historically</w:t>
      </w:r>
      <w:r w:rsidR="008F2894" w:rsidRPr="009F19BC">
        <w:t>,</w:t>
      </w:r>
      <w:r w:rsidRPr="009F19BC">
        <w:t xml:space="preserve"> volunteers have played a significant role in adult </w:t>
      </w:r>
      <w:r w:rsidR="00BE7E2A" w:rsidRPr="009F19BC">
        <w:t>literacy and numeracy</w:t>
      </w:r>
      <w:r w:rsidRPr="009F19BC">
        <w:t xml:space="preserve"> delivery in Australia. Australian literacy providers in the 1970s and 1980s actively sought to recruit and train large numbers of literacy volunteer tutors (Campbell 2009) and</w:t>
      </w:r>
      <w:r w:rsidR="008F2894" w:rsidRPr="009F19BC">
        <w:t>,</w:t>
      </w:r>
      <w:r w:rsidRPr="009F19BC">
        <w:t xml:space="preserve"> although </w:t>
      </w:r>
      <w:r w:rsidR="007A6CE5" w:rsidRPr="009F19BC">
        <w:t>literacy and numeracy</w:t>
      </w:r>
      <w:r w:rsidRPr="009F19BC">
        <w:t xml:space="preserve"> delivery was seen as the specific domain of specialists, it was able to be serviced by trained and supervised volunteers. In the current Australian literature there is little reference to developing </w:t>
      </w:r>
      <w:r w:rsidR="007A6CE5" w:rsidRPr="009F19BC">
        <w:t>literacy and numeracy</w:t>
      </w:r>
      <w:r w:rsidRPr="009F19BC">
        <w:t xml:space="preserve"> practitioners’ skills to train and work with volunteers, despite reports that volunteers have a positive impact on </w:t>
      </w:r>
      <w:r w:rsidR="007A6CE5" w:rsidRPr="009F19BC">
        <w:t>literacy and numeracy</w:t>
      </w:r>
      <w:r w:rsidRPr="009F19BC">
        <w:t xml:space="preserve"> programs (Campbell 2009; Mackay et al. 2006; Johnston, Kelly &amp; Johnston 2001) and that learners have better outcomes when they have </w:t>
      </w:r>
      <w:r w:rsidR="00BA0A7A">
        <w:t>volunteer assis</w:t>
      </w:r>
      <w:r w:rsidRPr="009F19BC">
        <w:t>t</w:t>
      </w:r>
      <w:r w:rsidR="00BA0A7A">
        <w:t>ance</w:t>
      </w:r>
      <w:r w:rsidRPr="009F19BC">
        <w:t xml:space="preserve"> (</w:t>
      </w:r>
      <w:proofErr w:type="spellStart"/>
      <w:r w:rsidRPr="009F19BC">
        <w:t>Benseman</w:t>
      </w:r>
      <w:proofErr w:type="spellEnd"/>
      <w:r w:rsidRPr="009F19BC">
        <w:t xml:space="preserve"> et al. 2005</w:t>
      </w:r>
      <w:r w:rsidR="009F4558" w:rsidRPr="009F19BC">
        <w:t>,</w:t>
      </w:r>
      <w:r w:rsidRPr="009F19BC">
        <w:t xml:space="preserve"> in </w:t>
      </w:r>
      <w:proofErr w:type="spellStart"/>
      <w:r w:rsidRPr="009F19BC">
        <w:t>Vorhaus</w:t>
      </w:r>
      <w:proofErr w:type="spellEnd"/>
      <w:r w:rsidRPr="009F19BC">
        <w:t xml:space="preserve"> et al. 2011). One exception is the Tasmanian state literacy campaign</w:t>
      </w:r>
      <w:r w:rsidR="009F4558" w:rsidRPr="009F19BC">
        <w:t>,</w:t>
      </w:r>
      <w:r w:rsidRPr="009F19BC">
        <w:t xml:space="preserve"> where more than 1100 volunteers have been recruited to work with </w:t>
      </w:r>
      <w:r w:rsidR="007A6CE5" w:rsidRPr="009F19BC">
        <w:t>literacy and numeracy</w:t>
      </w:r>
      <w:r w:rsidRPr="009F19BC">
        <w:t xml:space="preserve"> learners (</w:t>
      </w:r>
      <w:r w:rsidR="008F2894" w:rsidRPr="009F19BC">
        <w:t xml:space="preserve">Tasmanian </w:t>
      </w:r>
      <w:r w:rsidRPr="009F19BC">
        <w:t>Departme</w:t>
      </w:r>
      <w:r w:rsidR="008F2894" w:rsidRPr="009F19BC">
        <w:t>nt of Education &amp; LINC Tasmania</w:t>
      </w:r>
      <w:r w:rsidRPr="009F19BC">
        <w:t xml:space="preserve"> 2015). </w:t>
      </w:r>
    </w:p>
    <w:p w:rsidR="001B6395" w:rsidRPr="00C774A8" w:rsidRDefault="001B6395" w:rsidP="009F19BC">
      <w:pPr>
        <w:pStyle w:val="Text"/>
      </w:pPr>
      <w:r w:rsidRPr="009F19BC">
        <w:t xml:space="preserve">In addition to the volunteer workforce, students themselves were previously encouraged to become involved in aspects of delivery. This required having </w:t>
      </w:r>
      <w:r w:rsidR="007A6CE5" w:rsidRPr="009F19BC">
        <w:t>literacy and numeracy</w:t>
      </w:r>
      <w:r w:rsidRPr="009F19BC">
        <w:t xml:space="preserve"> specialists </w:t>
      </w:r>
      <w:r w:rsidR="009F4558" w:rsidRPr="009F19BC">
        <w:t>with</w:t>
      </w:r>
      <w:r w:rsidRPr="009F19BC">
        <w:t xml:space="preserve"> the skills to facilitate the process of active involvement</w:t>
      </w:r>
      <w:r w:rsidR="00BA0A7A">
        <w:t>,</w:t>
      </w:r>
      <w:r w:rsidRPr="009F19BC">
        <w:t xml:space="preserve"> and the ability to create an environment where students play a central role in determining how they learn. </w:t>
      </w:r>
      <w:r w:rsidR="00BA0A7A">
        <w:br/>
      </w:r>
      <w:r w:rsidRPr="009F19BC">
        <w:t xml:space="preserve">In the 1970s and 1980s </w:t>
      </w:r>
      <w:r w:rsidR="007A6CE5" w:rsidRPr="009F19BC">
        <w:t>literacy and numeracy</w:t>
      </w:r>
      <w:r w:rsidRPr="009F19BC">
        <w:t xml:space="preserve"> learners were representatives on state committees, in planning processes and in the development of publications (Campbell 2009; Johnston, Kelly &amp; Johnston 2001). More recently there is little evidence of the student voice, nor of developing practitioner skills to involve students in a proactive manner. Searle (2004) suggests this occurred as a result of the increased role of government and industry in </w:t>
      </w:r>
      <w:r w:rsidR="007A6CE5" w:rsidRPr="009F19BC">
        <w:t>literacy and numeracy</w:t>
      </w:r>
      <w:r w:rsidRPr="009F19BC">
        <w:t xml:space="preserve"> provision: in the 1970s and 1980s </w:t>
      </w:r>
      <w:r w:rsidR="007A6CE5" w:rsidRPr="009F19BC">
        <w:t>literacy and numeracy</w:t>
      </w:r>
      <w:r w:rsidRPr="009F19BC">
        <w:t xml:space="preserve"> practitioners were influential in shaping provision, and therefore facilitating student participation, but by the late 1990s their role had changed to one of less influence in terms of policy, except as a mediating voice between learners and bureaucracy. Quigley</w:t>
      </w:r>
      <w:r w:rsidR="008075A7" w:rsidRPr="009F19BC">
        <w:t xml:space="preserve"> (2006, p.25)</w:t>
      </w:r>
      <w:r w:rsidRPr="009F19BC">
        <w:t xml:space="preserve"> questions why learners are no longer heard:</w:t>
      </w:r>
    </w:p>
    <w:p w:rsidR="001B6395" w:rsidRPr="00C774A8" w:rsidRDefault="001B6395" w:rsidP="001B6395">
      <w:pPr>
        <w:pStyle w:val="Quote"/>
      </w:pPr>
      <w:r w:rsidRPr="00C774A8">
        <w:t>Why has the adult learner no voice, no role in professionalism when it is ultimately the learners’ lives we are all talking about? After all, are we not supposed to be serving learners’ needs in o</w:t>
      </w:r>
      <w:r w:rsidR="008F2894">
        <w:t xml:space="preserve">ur search for professionalism? </w:t>
      </w:r>
      <w:r w:rsidR="008F2894">
        <w:tab/>
      </w:r>
      <w:r w:rsidR="009F4558">
        <w:t xml:space="preserve"> </w:t>
      </w:r>
    </w:p>
    <w:p w:rsidR="001B6395" w:rsidRPr="009F19BC" w:rsidRDefault="001B6395" w:rsidP="009F19BC">
      <w:pPr>
        <w:pStyle w:val="Text"/>
      </w:pPr>
      <w:r w:rsidRPr="009F19BC">
        <w:lastRenderedPageBreak/>
        <w:t xml:space="preserve">Australian adult learners are not currently involved in shaping </w:t>
      </w:r>
      <w:r w:rsidR="007A6CE5" w:rsidRPr="009F19BC">
        <w:t>literacy and numeracy</w:t>
      </w:r>
      <w:r w:rsidRPr="009F19BC">
        <w:t xml:space="preserve"> provision. Many recent Australian reports and strategy papers appear to flow from the OECD findings that a percenta</w:t>
      </w:r>
      <w:r w:rsidR="008F2894" w:rsidRPr="009F19BC">
        <w:t>ge of the population have low-</w:t>
      </w:r>
      <w:r w:rsidRPr="009F19BC">
        <w:t xml:space="preserve">level </w:t>
      </w:r>
      <w:r w:rsidR="007A6CE5" w:rsidRPr="009F19BC">
        <w:t>literacy and numeracy</w:t>
      </w:r>
      <w:r w:rsidRPr="009F19BC">
        <w:t xml:space="preserve"> skills, but little research has been done following these findings to </w:t>
      </w:r>
      <w:r w:rsidR="008F2894" w:rsidRPr="009F19BC">
        <w:t>investigate</w:t>
      </w:r>
      <w:r w:rsidRPr="009F19BC">
        <w:t xml:space="preserve"> individuals in Australia to determine whether they want or need </w:t>
      </w:r>
      <w:r w:rsidR="007A6CE5" w:rsidRPr="009F19BC">
        <w:t>literacy and numeracy</w:t>
      </w:r>
      <w:r w:rsidRPr="009F19BC">
        <w:t xml:space="preserve"> development: calls for intervention are largely from the perspective of employers, business and government and </w:t>
      </w:r>
      <w:r w:rsidR="008F2894" w:rsidRPr="009F19BC">
        <w:t xml:space="preserve">are </w:t>
      </w:r>
      <w:r w:rsidRPr="009F19BC">
        <w:t xml:space="preserve">based on the perceived economic implications of </w:t>
      </w:r>
      <w:r w:rsidR="007A6CE5" w:rsidRPr="009F19BC">
        <w:t>literacy and numeracy</w:t>
      </w:r>
      <w:r w:rsidRPr="009F19BC">
        <w:t xml:space="preserve"> deficiencies in the workforce. For example, the development of the Foundation Skills Training Package was informed by ‘employers, unions, industry bodies, </w:t>
      </w:r>
      <w:r w:rsidR="00BA0A7A">
        <w:t>registered training organisations</w:t>
      </w:r>
      <w:r w:rsidRPr="009F19BC">
        <w:t>, regulators, employment service providers, corrections agencies, schools sector representatives and</w:t>
      </w:r>
      <w:r w:rsidR="008F2894" w:rsidRPr="009F19BC">
        <w:t xml:space="preserve"> </w:t>
      </w:r>
      <w:r w:rsidRPr="009F19BC">
        <w:t>…</w:t>
      </w:r>
      <w:r w:rsidR="009F4558" w:rsidRPr="009F19BC">
        <w:t xml:space="preserve"> </w:t>
      </w:r>
      <w:r w:rsidRPr="009F19BC">
        <w:t xml:space="preserve">VET and LLN </w:t>
      </w:r>
      <w:r w:rsidR="006B6141" w:rsidRPr="009F19BC">
        <w:t xml:space="preserve">[language, literacy and numeracy] </w:t>
      </w:r>
      <w:r w:rsidRPr="009F19BC">
        <w:t xml:space="preserve">practitioners’ (Roberts 2013, p.14) but not by the adult learners themselves. </w:t>
      </w:r>
      <w:proofErr w:type="spellStart"/>
      <w:r w:rsidRPr="009F19BC">
        <w:t>Boughton</w:t>
      </w:r>
      <w:proofErr w:type="spellEnd"/>
      <w:r w:rsidRPr="009F19BC">
        <w:t xml:space="preserve"> et al. (2014) is an exception; their work describes the involvement of students in the learning community and includes student evaluations in the program report. However, little current research into the student perspective exits elsewhere.</w:t>
      </w:r>
    </w:p>
    <w:p w:rsidR="00562BED" w:rsidRDefault="00562BED">
      <w:pPr>
        <w:spacing w:before="0" w:line="240" w:lineRule="auto"/>
        <w:rPr>
          <w:rFonts w:ascii="Arial" w:hAnsi="Arial" w:cs="Tahoma"/>
          <w:sz w:val="28"/>
        </w:rPr>
      </w:pPr>
      <w:r>
        <w:br w:type="page"/>
      </w:r>
    </w:p>
    <w:p w:rsidR="00562BED" w:rsidRPr="00562BED" w:rsidRDefault="00562BED" w:rsidP="00562BED">
      <w:pPr>
        <w:pStyle w:val="Heading1"/>
      </w:pPr>
      <w:bookmarkStart w:id="36" w:name="_Toc468885403"/>
      <w:r w:rsidRPr="00562BED">
        <w:lastRenderedPageBreak/>
        <w:t>Practitioner qualifications and student outcomes</w:t>
      </w:r>
      <w:bookmarkEnd w:id="36"/>
    </w:p>
    <w:p w:rsidR="00562BED" w:rsidRPr="009F19BC" w:rsidRDefault="00562BED" w:rsidP="009F19BC">
      <w:pPr>
        <w:pStyle w:val="Heading2"/>
      </w:pPr>
      <w:bookmarkStart w:id="37" w:name="_Toc468885404"/>
      <w:r w:rsidRPr="009F19BC">
        <w:t>Australian qualifications</w:t>
      </w:r>
      <w:bookmarkEnd w:id="37"/>
    </w:p>
    <w:p w:rsidR="00562BED" w:rsidRPr="009F19BC" w:rsidRDefault="00562BED" w:rsidP="009F19BC">
      <w:pPr>
        <w:pStyle w:val="Text"/>
      </w:pPr>
      <w:r w:rsidRPr="009F19BC">
        <w:t>In Australia, a scan by the National F</w:t>
      </w:r>
      <w:r w:rsidR="008F2894" w:rsidRPr="009F19BC">
        <w:t>oundation Skills Strategy</w:t>
      </w:r>
      <w:r w:rsidRPr="009F19BC">
        <w:t xml:space="preserve"> found few opportunities </w:t>
      </w:r>
      <w:r w:rsidR="008F2894" w:rsidRPr="009F19BC">
        <w:t>for</w:t>
      </w:r>
      <w:r w:rsidRPr="009F19BC">
        <w:t xml:space="preserve"> train</w:t>
      </w:r>
      <w:r w:rsidR="008F2894" w:rsidRPr="009F19BC">
        <w:t>ing</w:t>
      </w:r>
      <w:r w:rsidRPr="009F19BC">
        <w:t xml:space="preserve"> as a </w:t>
      </w:r>
      <w:r w:rsidR="007A6CE5" w:rsidRPr="009F19BC">
        <w:t>literacy and numeracy</w:t>
      </w:r>
      <w:r w:rsidRPr="009F19BC">
        <w:t xml:space="preserve"> specialist. University courses specialising in </w:t>
      </w:r>
      <w:r w:rsidR="007A6CE5" w:rsidRPr="009F19BC">
        <w:t>literacy and numeracy</w:t>
      </w:r>
      <w:r w:rsidRPr="009F19BC">
        <w:t xml:space="preserve"> were limited to two bachelor of education degrees with </w:t>
      </w:r>
      <w:r w:rsidR="009F4558" w:rsidRPr="009F19BC">
        <w:t xml:space="preserve">a </w:t>
      </w:r>
      <w:r w:rsidRPr="009F19BC">
        <w:t xml:space="preserve">specialisation or major in </w:t>
      </w:r>
      <w:r w:rsidR="007A6CE5" w:rsidRPr="009F19BC">
        <w:t>literacy and numeracy</w:t>
      </w:r>
      <w:r w:rsidRPr="009F19BC">
        <w:t>, one graduate certificate (</w:t>
      </w:r>
      <w:r w:rsidR="007A6CE5" w:rsidRPr="009F19BC">
        <w:t>literacy and numeracy</w:t>
      </w:r>
      <w:r w:rsidRPr="009F19BC">
        <w:t>), two graduate diplomas (</w:t>
      </w:r>
      <w:r w:rsidR="007A6CE5" w:rsidRPr="009F19BC">
        <w:t>literacy and numeracy</w:t>
      </w:r>
      <w:r w:rsidRPr="009F19BC">
        <w:t>) and one graduate diploma (numeracy) (</w:t>
      </w:r>
      <w:r w:rsidR="008F2894" w:rsidRPr="009F19BC">
        <w:t>National Foundation Skills Strategy</w:t>
      </w:r>
      <w:r w:rsidRPr="009F19BC">
        <w:t xml:space="preserve"> 2015). When reviewing training packages, units and skill sets, the </w:t>
      </w:r>
      <w:r w:rsidR="008F2894" w:rsidRPr="009F19BC">
        <w:t>National Foundation Skills Strategy</w:t>
      </w:r>
      <w:r w:rsidRPr="009F19BC">
        <w:t xml:space="preserve"> (2015) found two graduate diplomas in </w:t>
      </w:r>
      <w:r w:rsidR="007A6CE5" w:rsidRPr="009F19BC">
        <w:t>literacy and numeracy</w:t>
      </w:r>
      <w:r w:rsidRPr="009F19BC">
        <w:t xml:space="preserve"> (one in practice and one in leadership), six individual units at Australian Qualifications Framework (AQF) level 4, one individual unit at AQF level 5 and five skill sets. There was one accredited course at </w:t>
      </w:r>
      <w:r w:rsidR="007A6CE5" w:rsidRPr="009F19BC">
        <w:t>c</w:t>
      </w:r>
      <w:r w:rsidRPr="009F19BC">
        <w:t>ertificate IV level (</w:t>
      </w:r>
      <w:r w:rsidR="008F2894" w:rsidRPr="009F19BC">
        <w:t>National Foundation Skills Strategy</w:t>
      </w:r>
      <w:r w:rsidRPr="009F19BC">
        <w:t xml:space="preserve"> 2015). There was no information available about pathways for new entrants to the workforce or for defining career pathways for those already engaged in the </w:t>
      </w:r>
      <w:r w:rsidR="007A6CE5" w:rsidRPr="009F19BC">
        <w:t>literacy and numeracy</w:t>
      </w:r>
      <w:r w:rsidRPr="009F19BC">
        <w:t xml:space="preserve"> workforce. </w:t>
      </w:r>
    </w:p>
    <w:p w:rsidR="00562BED" w:rsidRPr="009F19BC" w:rsidRDefault="00562BED" w:rsidP="009F19BC">
      <w:pPr>
        <w:pStyle w:val="Text"/>
      </w:pPr>
      <w:r w:rsidRPr="009F19BC">
        <w:t xml:space="preserve">Government funding for initial training and </w:t>
      </w:r>
      <w:r w:rsidR="006B6141" w:rsidRPr="009F19BC">
        <w:t>professional development</w:t>
      </w:r>
      <w:r w:rsidRPr="009F19BC">
        <w:t xml:space="preserve"> in Australia is low and has been described as ‘a dimension of the adult literacy and numeracy field that has reached a parlous state and is badly in need of national renewal’ (B</w:t>
      </w:r>
      <w:r w:rsidR="009F4558" w:rsidRPr="009F19BC">
        <w:t>lack &amp; Yasukawa 2010, p.51). F</w:t>
      </w:r>
      <w:r w:rsidRPr="009F19BC">
        <w:t>ederally funded scholarship</w:t>
      </w:r>
      <w:r w:rsidR="009F4558" w:rsidRPr="009F19BC">
        <w:t>s were</w:t>
      </w:r>
      <w:r w:rsidRPr="009F19BC">
        <w:t xml:space="preserve"> offered to address the shortage of </w:t>
      </w:r>
      <w:r w:rsidR="007A6CE5" w:rsidRPr="009F19BC">
        <w:t>language, literacy and numeracy</w:t>
      </w:r>
      <w:r w:rsidR="009F4558" w:rsidRPr="009F19BC">
        <w:t xml:space="preserve"> p</w:t>
      </w:r>
      <w:r w:rsidRPr="009F19BC">
        <w:t>ractitioners (A</w:t>
      </w:r>
      <w:r w:rsidR="008F2894" w:rsidRPr="009F19BC">
        <w:t>ustralian Industry Group</w:t>
      </w:r>
      <w:r w:rsidR="009F4558" w:rsidRPr="009F19BC">
        <w:t xml:space="preserve"> 2013): t</w:t>
      </w:r>
      <w:r w:rsidRPr="009F19BC">
        <w:t>he Australian Government approved $1.6 million in</w:t>
      </w:r>
      <w:r w:rsidR="008F2894" w:rsidRPr="009F19BC">
        <w:t xml:space="preserve"> scholarship grants of up to $5</w:t>
      </w:r>
      <w:r w:rsidRPr="009F19BC">
        <w:t>250 each. Scholarships were provided to 347 individuals to study a suitable qualification to become an adult literacy practitioner (pers.</w:t>
      </w:r>
      <w:r w:rsidR="008F2894" w:rsidRPr="009F19BC">
        <w:t xml:space="preserve"> </w:t>
      </w:r>
      <w:r w:rsidRPr="009F19BC">
        <w:t>com</w:t>
      </w:r>
      <w:r w:rsidR="008F2894" w:rsidRPr="009F19BC">
        <w:t>m.,</w:t>
      </w:r>
      <w:r w:rsidRPr="009F19BC">
        <w:t xml:space="preserve"> 25 May 2016: Programme Officer, Transitioning Programmes/Foundation Skills Branch</w:t>
      </w:r>
      <w:r w:rsidR="008F2894" w:rsidRPr="009F19BC">
        <w:t>,</w:t>
      </w:r>
      <w:r w:rsidRPr="009F19BC">
        <w:t xml:space="preserve"> Australian Government Department of Education and Training). Research into the success of the scholarship program is not publically available, and the Department</w:t>
      </w:r>
      <w:r w:rsidR="00BA0A7A">
        <w:t xml:space="preserve"> of Education and Training</w:t>
      </w:r>
      <w:r w:rsidRPr="009F19BC">
        <w:t xml:space="preserve"> website provides only an anecdote of one recipient’s completion (D</w:t>
      </w:r>
      <w:r w:rsidR="008F2894" w:rsidRPr="009F19BC">
        <w:t>epartment of Education and Training</w:t>
      </w:r>
      <w:r w:rsidRPr="009F19BC">
        <w:t xml:space="preserve"> 2015). The scholarship program has now been discontinued (</w:t>
      </w:r>
      <w:r w:rsidR="008F2894" w:rsidRPr="009F19BC">
        <w:t>Department of Education and Training</w:t>
      </w:r>
      <w:r w:rsidRPr="009F19BC">
        <w:t xml:space="preserve"> 2015). Moreover, several higher education specialist adult </w:t>
      </w:r>
      <w:r w:rsidR="00BE7E2A" w:rsidRPr="009F19BC">
        <w:t>literacy and numeracy</w:t>
      </w:r>
      <w:r w:rsidRPr="009F19BC">
        <w:t xml:space="preserve"> teacher education courses were discontinued at about the same time because of the limited number of Commonwealth Supported Places for postgraduate courses.</w:t>
      </w:r>
    </w:p>
    <w:p w:rsidR="00562BED" w:rsidRPr="009F19BC" w:rsidRDefault="00562BED" w:rsidP="009F19BC">
      <w:pPr>
        <w:pStyle w:val="Text"/>
      </w:pPr>
      <w:r w:rsidRPr="009F19BC">
        <w:t>The 2011</w:t>
      </w:r>
      <w:r w:rsidR="00FC27C1" w:rsidRPr="009F19BC">
        <w:t xml:space="preserve"> report,</w:t>
      </w:r>
      <w:r w:rsidRPr="009F19BC">
        <w:t xml:space="preserve"> </w:t>
      </w:r>
      <w:r w:rsidRPr="00BA0A7A">
        <w:rPr>
          <w:i/>
        </w:rPr>
        <w:t xml:space="preserve">No </w:t>
      </w:r>
      <w:r w:rsidR="00FC27C1" w:rsidRPr="00BA0A7A">
        <w:rPr>
          <w:i/>
        </w:rPr>
        <w:t>more excuses</w:t>
      </w:r>
      <w:r w:rsidRPr="009F19BC">
        <w:t xml:space="preserve"> (Industry Skills Council</w:t>
      </w:r>
      <w:r w:rsidR="009F4558" w:rsidRPr="009F19BC">
        <w:t>s</w:t>
      </w:r>
      <w:r w:rsidRPr="009F19BC">
        <w:t xml:space="preserve"> 2011)</w:t>
      </w:r>
      <w:r w:rsidR="00FC27C1" w:rsidRPr="009F19BC">
        <w:t>,</w:t>
      </w:r>
      <w:r w:rsidRPr="009F19BC">
        <w:t xml:space="preserve"> argued that </w:t>
      </w:r>
      <w:r w:rsidR="00255D99" w:rsidRPr="009F19BC">
        <w:t xml:space="preserve">building the capacity of the </w:t>
      </w:r>
      <w:r w:rsidRPr="009F19BC">
        <w:t xml:space="preserve">adult </w:t>
      </w:r>
      <w:r w:rsidR="006B6141" w:rsidRPr="009F19BC">
        <w:t xml:space="preserve">literacy and numeracy </w:t>
      </w:r>
      <w:r w:rsidRPr="009F19BC">
        <w:t xml:space="preserve">workforce was the responsibility of industry and all education sectors. It cited the limited number of </w:t>
      </w:r>
      <w:r w:rsidR="006B6141" w:rsidRPr="009F19BC">
        <w:t>language, literacy and numeracy</w:t>
      </w:r>
      <w:r w:rsidRPr="009F19BC">
        <w:t xml:space="preserve"> experts, few of whom were willing or able to work in vocational areas</w:t>
      </w:r>
      <w:r w:rsidR="009F4558" w:rsidRPr="009F19BC">
        <w:t>,</w:t>
      </w:r>
      <w:r w:rsidRPr="009F19BC">
        <w:t xml:space="preserve"> as one of the factors in the failure of training packages to address LLN needs (Industry Skills Council</w:t>
      </w:r>
      <w:r w:rsidR="009F4558" w:rsidRPr="009F19BC">
        <w:t>s</w:t>
      </w:r>
      <w:r w:rsidRPr="009F19BC">
        <w:t xml:space="preserve"> 2011). The report raised the professional development of LLN specialists, by highlighting the need for specialists to develop skills to work effectively </w:t>
      </w:r>
      <w:r w:rsidR="00BA0A7A">
        <w:t xml:space="preserve">in the workplace and </w:t>
      </w:r>
      <w:r w:rsidRPr="009F19BC">
        <w:t>with vocational trainers to increase the LLN skills of industry (Industry Skills Council</w:t>
      </w:r>
      <w:r w:rsidR="009F4558" w:rsidRPr="009F19BC">
        <w:t>s</w:t>
      </w:r>
      <w:r w:rsidRPr="009F19BC">
        <w:t xml:space="preserve"> 2011). This is echoed in research on integrated LLN delivery in VET (Black &amp; Yasukawa 2013; </w:t>
      </w:r>
      <w:proofErr w:type="spellStart"/>
      <w:r w:rsidRPr="009F19BC">
        <w:t>Ivanic</w:t>
      </w:r>
      <w:proofErr w:type="spellEnd"/>
      <w:r w:rsidRPr="009F19BC">
        <w:t xml:space="preserve"> et al. 2009).</w:t>
      </w:r>
      <w:r w:rsidR="004A65CA" w:rsidRPr="009F19BC">
        <w:t xml:space="preserve"> </w:t>
      </w:r>
      <w:r w:rsidRPr="009F19BC">
        <w:t xml:space="preserve">The Australian Industry Group </w:t>
      </w:r>
      <w:r w:rsidR="00FC27C1" w:rsidRPr="009F19BC">
        <w:t xml:space="preserve">(2016) </w:t>
      </w:r>
      <w:r w:rsidRPr="009F19BC">
        <w:t xml:space="preserve">reported that the poor results of the most recent international </w:t>
      </w:r>
      <w:r w:rsidR="006B6141" w:rsidRPr="009F19BC">
        <w:t>literacy and numeracy</w:t>
      </w:r>
      <w:r w:rsidRPr="009F19BC">
        <w:t xml:space="preserve"> survey, the Programme for the International A</w:t>
      </w:r>
      <w:r w:rsidR="009F4558" w:rsidRPr="009F19BC">
        <w:t>ssessment of Adult Competencies</w:t>
      </w:r>
      <w:r w:rsidRPr="009F19BC">
        <w:t xml:space="preserve">, coupled with employer perceptions of low levels of </w:t>
      </w:r>
      <w:r w:rsidR="006B6141" w:rsidRPr="009F19BC">
        <w:t xml:space="preserve">literacy and </w:t>
      </w:r>
      <w:r w:rsidR="006B6141" w:rsidRPr="009F19BC">
        <w:lastRenderedPageBreak/>
        <w:t>numeracy</w:t>
      </w:r>
      <w:r w:rsidRPr="009F19BC">
        <w:t xml:space="preserve"> skills </w:t>
      </w:r>
      <w:r w:rsidR="006B6141" w:rsidRPr="009F19BC">
        <w:t>among</w:t>
      </w:r>
      <w:r w:rsidRPr="009F19BC">
        <w:t xml:space="preserve"> their employees, were cause for concern and called for the expansion and professional development of the </w:t>
      </w:r>
      <w:r w:rsidR="006B6141" w:rsidRPr="009F19BC">
        <w:t>literacy and numeracy</w:t>
      </w:r>
      <w:r w:rsidRPr="009F19BC">
        <w:t xml:space="preserve"> w</w:t>
      </w:r>
      <w:r w:rsidR="00FC27C1" w:rsidRPr="009F19BC">
        <w:t>orkforce to be prioritised</w:t>
      </w:r>
      <w:r w:rsidR="00BA0A7A">
        <w:t>: ‘t</w:t>
      </w:r>
      <w:r w:rsidRPr="009F19BC">
        <w:t>he LLN teaching workforce needs to be supported and expanded to meet the LLN needs of the workforce’ (</w:t>
      </w:r>
      <w:r w:rsidR="00FC27C1" w:rsidRPr="009F19BC">
        <w:t>Australian Industry Group</w:t>
      </w:r>
      <w:r w:rsidR="00141842" w:rsidRPr="009F19BC">
        <w:t xml:space="preserve"> </w:t>
      </w:r>
      <w:r w:rsidR="00FC27C1" w:rsidRPr="009F19BC">
        <w:t xml:space="preserve">2016, </w:t>
      </w:r>
      <w:r w:rsidRPr="009F19BC">
        <w:t>p.4).</w:t>
      </w:r>
      <w:r w:rsidR="004A65CA" w:rsidRPr="009F19BC">
        <w:t xml:space="preserve"> </w:t>
      </w:r>
      <w:r w:rsidRPr="009F19BC">
        <w:t xml:space="preserve">Although there are general calls for increased adult </w:t>
      </w:r>
      <w:r w:rsidR="00BE7E2A" w:rsidRPr="009F19BC">
        <w:t>literacy and numeracy</w:t>
      </w:r>
      <w:r w:rsidRPr="009F19BC">
        <w:t xml:space="preserve"> teacher qualifications in Australia (examples in </w:t>
      </w:r>
      <w:r w:rsidR="00FC27C1" w:rsidRPr="009F19BC">
        <w:t>Australian Industry Group</w:t>
      </w:r>
      <w:r w:rsidRPr="009F19BC">
        <w:t xml:space="preserve"> 2016; </w:t>
      </w:r>
      <w:r w:rsidR="00FC27C1" w:rsidRPr="009F19BC">
        <w:t>Standing Council on Tertiary Education, Skills and Employment</w:t>
      </w:r>
      <w:r w:rsidRPr="009F19BC">
        <w:t xml:space="preserve"> 2012; Roberts &amp; </w:t>
      </w:r>
      <w:proofErr w:type="spellStart"/>
      <w:r w:rsidRPr="009F19BC">
        <w:t>Wignall</w:t>
      </w:r>
      <w:proofErr w:type="spellEnd"/>
      <w:r w:rsidRPr="009F19BC">
        <w:t xml:space="preserve"> 2010), only a few research projects have been carried out in this area. </w:t>
      </w:r>
    </w:p>
    <w:p w:rsidR="00562BED" w:rsidRPr="009F19BC" w:rsidRDefault="00562BED" w:rsidP="009F19BC">
      <w:pPr>
        <w:pStyle w:val="Heading2"/>
      </w:pPr>
      <w:bookmarkStart w:id="38" w:name="_Toc468885405"/>
      <w:r w:rsidRPr="009F19BC">
        <w:t>Importance of qualifications</w:t>
      </w:r>
      <w:bookmarkEnd w:id="38"/>
    </w:p>
    <w:p w:rsidR="00562BED" w:rsidRPr="009F19BC" w:rsidRDefault="00562BED" w:rsidP="009F19BC">
      <w:pPr>
        <w:pStyle w:val="Text"/>
      </w:pPr>
      <w:r w:rsidRPr="009F19BC">
        <w:t xml:space="preserve">Although scarce research exists that directly examines the impact of adult </w:t>
      </w:r>
      <w:r w:rsidR="00D148B8" w:rsidRPr="009F19BC">
        <w:t>literacy and numeracy</w:t>
      </w:r>
      <w:r w:rsidRPr="009F19BC">
        <w:t xml:space="preserve"> teacher qualifications on student outcomes, </w:t>
      </w:r>
      <w:proofErr w:type="spellStart"/>
      <w:r w:rsidRPr="009F19BC">
        <w:t>Vorhaus</w:t>
      </w:r>
      <w:proofErr w:type="spellEnd"/>
      <w:r w:rsidRPr="009F19BC">
        <w:t xml:space="preserve"> et al. (2011) note ‘contrary to popular belief, teaching basic literacy and numeracy to adults is not something that anyone can do; having qualifications does make a difference’</w:t>
      </w:r>
      <w:r w:rsidR="00FC27C1" w:rsidRPr="009F19BC">
        <w:t xml:space="preserve"> (</w:t>
      </w:r>
      <w:r w:rsidRPr="009F19BC">
        <w:t>p.78).</w:t>
      </w:r>
      <w:r w:rsidR="004A65CA" w:rsidRPr="009F19BC">
        <w:t xml:space="preserve"> </w:t>
      </w:r>
      <w:r w:rsidRPr="009F19BC">
        <w:t xml:space="preserve">There is general agreement in the literature that qualitative evidence shows </w:t>
      </w:r>
      <w:r w:rsidR="00FC27C1" w:rsidRPr="009F19BC">
        <w:t xml:space="preserve">that </w:t>
      </w:r>
      <w:r w:rsidRPr="009F19BC">
        <w:t xml:space="preserve">qualifications are important for </w:t>
      </w:r>
      <w:r w:rsidR="00D148B8" w:rsidRPr="009F19BC">
        <w:t>literacy and numeracy</w:t>
      </w:r>
      <w:r w:rsidRPr="009F19BC">
        <w:t xml:space="preserve"> practitioners. For example, in New Zealand, a national qualification ‘made a positive contribution towards developing a more knowledgeable and skilled workforce’ (</w:t>
      </w:r>
      <w:proofErr w:type="spellStart"/>
      <w:r w:rsidRPr="009F19BC">
        <w:t>Benseman</w:t>
      </w:r>
      <w:proofErr w:type="spellEnd"/>
      <w:r w:rsidRPr="009F19BC">
        <w:t xml:space="preserve"> 2014, p.122). In Australia, vocational practitioners who completed university qualifications reported improvements to their practice in both skil</w:t>
      </w:r>
      <w:r w:rsidR="00BA0A7A">
        <w:t xml:space="preserve">ls and in knowledge, including </w:t>
      </w:r>
      <w:r w:rsidRPr="009F19BC">
        <w:t>‘self-knowledge, pedagogical knowledge, ICT knowledge, and content knowledge’ (Smith, Yasukawa &amp; Hodge 2015, p.6). Studies in the UK associated with the Skills for Life program showed a general improvement in adult literacy provision following the implementation of requirements for particular levels of qualifications (National Resear</w:t>
      </w:r>
      <w:r w:rsidR="00FC27C1" w:rsidRPr="009F19BC">
        <w:t>ch and Development Centre</w:t>
      </w:r>
      <w:r w:rsidRPr="009F19BC">
        <w:t xml:space="preserve"> 2011; Cara et al. 2010). The OECD (2008) reported that strengthening qualification requirements was essential and practitioners required a knowledge background that encompassed pedagogical expertise, knowledge of subject matter and assessment skills.</w:t>
      </w:r>
    </w:p>
    <w:p w:rsidR="00562BED" w:rsidRPr="009F19BC" w:rsidRDefault="00562BED" w:rsidP="009F19BC">
      <w:pPr>
        <w:pStyle w:val="Text"/>
      </w:pPr>
      <w:r w:rsidRPr="009F19BC">
        <w:t xml:space="preserve">Most available information </w:t>
      </w:r>
      <w:r w:rsidR="009F4558" w:rsidRPr="009F19BC">
        <w:t>on</w:t>
      </w:r>
      <w:r w:rsidRPr="009F19BC">
        <w:t xml:space="preserve"> the effect of qualifications has been extrapolat</w:t>
      </w:r>
      <w:r w:rsidR="009F4558" w:rsidRPr="009F19BC">
        <w:t>ed from research on</w:t>
      </w:r>
      <w:r w:rsidRPr="009F19BC">
        <w:t xml:space="preserve"> school teachers and their students (</w:t>
      </w:r>
      <w:proofErr w:type="spellStart"/>
      <w:r w:rsidRPr="009F19BC">
        <w:t>Vorhaus</w:t>
      </w:r>
      <w:proofErr w:type="spellEnd"/>
      <w:r w:rsidRPr="009F19BC">
        <w:t xml:space="preserve"> et al. 2011; Australian Government Productivity Commission 2011; Cara et al. 2010; Cara &amp; de </w:t>
      </w:r>
      <w:proofErr w:type="spellStart"/>
      <w:r w:rsidRPr="009F19BC">
        <w:t>Coulon</w:t>
      </w:r>
      <w:proofErr w:type="spellEnd"/>
      <w:r w:rsidRPr="009F19BC">
        <w:t xml:space="preserve"> 2009).</w:t>
      </w:r>
      <w:r w:rsidR="004A65CA" w:rsidRPr="009F19BC">
        <w:t xml:space="preserve"> </w:t>
      </w:r>
      <w:r w:rsidRPr="009F19BC">
        <w:t>Although studies of school teachers and students suggest that higher qualifica</w:t>
      </w:r>
      <w:r w:rsidR="00FC27C1" w:rsidRPr="009F19BC">
        <w:t>tions positively affect student</w:t>
      </w:r>
      <w:r w:rsidRPr="009F19BC">
        <w:t>s</w:t>
      </w:r>
      <w:r w:rsidR="00FC27C1" w:rsidRPr="009F19BC">
        <w:t>’</w:t>
      </w:r>
      <w:r w:rsidRPr="009F19BC">
        <w:t xml:space="preserve"> numeracy scores</w:t>
      </w:r>
      <w:r w:rsidR="00FC27C1" w:rsidRPr="009F19BC">
        <w:t>,</w:t>
      </w:r>
      <w:r w:rsidRPr="009F19BC">
        <w:t xml:space="preserve"> these results have not been replicated in studies of adult numeracy learners. Research that attempts to document quantitative results for adult </w:t>
      </w:r>
      <w:r w:rsidR="00BE7E2A" w:rsidRPr="009F19BC">
        <w:t>literacy and numeracy</w:t>
      </w:r>
      <w:r w:rsidRPr="009F19BC">
        <w:t xml:space="preserve"> practitioner qualifications has been inconclusive. In one study where teachers of numeracy held higher qualifications in mathematics, adult learners improved more between pre</w:t>
      </w:r>
      <w:r w:rsidR="00FC27C1" w:rsidRPr="009F19BC">
        <w:t>-</w:t>
      </w:r>
      <w:r w:rsidRPr="009F19BC">
        <w:t xml:space="preserve"> and post-tests but there was little positive impact on the learners’ self-confidence or their enjoyment of maths (Cara &amp; de </w:t>
      </w:r>
      <w:proofErr w:type="spellStart"/>
      <w:r w:rsidRPr="009F19BC">
        <w:t>Coulon</w:t>
      </w:r>
      <w:proofErr w:type="spellEnd"/>
      <w:r w:rsidRPr="009F19BC">
        <w:t xml:space="preserve"> 2009). In other studies the results have been inconsistent and definitive conclusions have not been reached (examples in Brooks et al. 2013; Yin et al. 2013: Cara &amp; de </w:t>
      </w:r>
      <w:proofErr w:type="spellStart"/>
      <w:r w:rsidRPr="009F19BC">
        <w:t>Coulon</w:t>
      </w:r>
      <w:proofErr w:type="spellEnd"/>
      <w:r w:rsidRPr="009F19BC">
        <w:t xml:space="preserve"> 2009). </w:t>
      </w:r>
    </w:p>
    <w:p w:rsidR="00562BED" w:rsidRPr="009F19BC" w:rsidRDefault="00562BED" w:rsidP="009F19BC">
      <w:pPr>
        <w:pStyle w:val="Heading2"/>
      </w:pPr>
      <w:bookmarkStart w:id="39" w:name="_Toc468885406"/>
      <w:r w:rsidRPr="009F19BC">
        <w:t>Other factors that influence outcomes</w:t>
      </w:r>
      <w:bookmarkEnd w:id="39"/>
    </w:p>
    <w:p w:rsidR="00562BED" w:rsidRPr="009F19BC" w:rsidRDefault="00562BED" w:rsidP="009F19BC">
      <w:pPr>
        <w:pStyle w:val="Text"/>
      </w:pPr>
      <w:r w:rsidRPr="009F19BC">
        <w:t xml:space="preserve">Studies have found a link between teacher experience and student outcomes, concluding that students with experienced adult </w:t>
      </w:r>
      <w:r w:rsidR="00BE7E2A" w:rsidRPr="009F19BC">
        <w:t>literacy and numeracy</w:t>
      </w:r>
      <w:r w:rsidRPr="009F19BC">
        <w:t xml:space="preserve"> teachers often demonstrate greater improvements in learning and engagement (Yin et al. 2013; Cara &amp; de </w:t>
      </w:r>
      <w:proofErr w:type="spellStart"/>
      <w:r w:rsidRPr="009F19BC">
        <w:t>Coulon</w:t>
      </w:r>
      <w:proofErr w:type="spellEnd"/>
      <w:r w:rsidRPr="009F19BC">
        <w:t xml:space="preserve"> 2009). Research tends to suggest that adult </w:t>
      </w:r>
      <w:r w:rsidR="00BE7E2A" w:rsidRPr="009F19BC">
        <w:t xml:space="preserve">literacy and numeracy </w:t>
      </w:r>
      <w:r w:rsidRPr="009F19BC">
        <w:t xml:space="preserve">outcomes are also linked to teacher characteristics and the way in which </w:t>
      </w:r>
      <w:r w:rsidR="00BE7E2A" w:rsidRPr="009F19BC">
        <w:t>literacy and numeracy</w:t>
      </w:r>
      <w:r w:rsidRPr="009F19BC">
        <w:t xml:space="preserve"> is provided: ‘There is a </w:t>
      </w:r>
      <w:r w:rsidRPr="009F19BC">
        <w:lastRenderedPageBreak/>
        <w:t>need for models of teacher training and professional development that emphasise both technical expertise and positive teacher qualities’ (</w:t>
      </w:r>
      <w:proofErr w:type="spellStart"/>
      <w:r w:rsidRPr="009F19BC">
        <w:t>Vorhaus</w:t>
      </w:r>
      <w:proofErr w:type="spellEnd"/>
      <w:r w:rsidRPr="009F19BC">
        <w:t xml:space="preserve"> et al. 2011, p</w:t>
      </w:r>
      <w:r w:rsidR="009F4558" w:rsidRPr="009F19BC">
        <w:t>.</w:t>
      </w:r>
      <w:r w:rsidRPr="009F19BC">
        <w:t xml:space="preserve">79). For example, </w:t>
      </w:r>
      <w:proofErr w:type="spellStart"/>
      <w:r w:rsidRPr="009F19BC">
        <w:t>Dymock</w:t>
      </w:r>
      <w:proofErr w:type="spellEnd"/>
      <w:r w:rsidRPr="009F19BC">
        <w:t xml:space="preserve"> (2007) examined the role of community providers who offered non-accredited courses for </w:t>
      </w:r>
      <w:r w:rsidR="00BE7E2A" w:rsidRPr="009F19BC">
        <w:t>literacy and numeracy</w:t>
      </w:r>
      <w:r w:rsidRPr="009F19BC">
        <w:t xml:space="preserve">. He found that the role of </w:t>
      </w:r>
      <w:r w:rsidR="00BE7E2A" w:rsidRPr="009F19BC">
        <w:t>literacy and numeracy</w:t>
      </w:r>
      <w:r w:rsidRPr="009F19BC">
        <w:t xml:space="preserve"> tutors was diverse and consisted of more than simply skills transmission.</w:t>
      </w:r>
      <w:r w:rsidR="004A65CA" w:rsidRPr="009F19BC">
        <w:t xml:space="preserve"> </w:t>
      </w:r>
      <w:r w:rsidRPr="009F19BC">
        <w:t xml:space="preserve">Similarly, in a summary study of </w:t>
      </w:r>
      <w:r w:rsidR="00BE7E2A" w:rsidRPr="009F19BC">
        <w:t>literacy and numeracy</w:t>
      </w:r>
      <w:r w:rsidRPr="009F19BC">
        <w:t xml:space="preserve"> provision across several OECD nations</w:t>
      </w:r>
      <w:r w:rsidR="00132932" w:rsidRPr="009F19BC">
        <w:t>,</w:t>
      </w:r>
      <w:r w:rsidRPr="009F19BC">
        <w:t xml:space="preserve"> it was noted that effective practitioners had soft skills such as ‘humour, patience, flexibility and empathy’ (OECD 2008, p.77).</w:t>
      </w:r>
      <w:r w:rsidR="004A65CA" w:rsidRPr="009F19BC">
        <w:t xml:space="preserve"> </w:t>
      </w:r>
      <w:r w:rsidR="00BE7E2A" w:rsidRPr="009F19BC">
        <w:t>Successful</w:t>
      </w:r>
      <w:r w:rsidRPr="009F19BC">
        <w:t xml:space="preserve"> provision depends on the teacher’s ability to create and maintain positive, committed, respectful relationships with learners, build a social atmosphere that is unlike school and respond to individual learner needs with flexibility (Murray &amp; Mitchell 2013; </w:t>
      </w:r>
      <w:proofErr w:type="spellStart"/>
      <w:r w:rsidRPr="009F19BC">
        <w:t>Widin</w:t>
      </w:r>
      <w:proofErr w:type="spellEnd"/>
      <w:r w:rsidRPr="009F19BC">
        <w:t xml:space="preserve">, Yasukawa &amp; </w:t>
      </w:r>
      <w:proofErr w:type="spellStart"/>
      <w:r w:rsidRPr="009F19BC">
        <w:t>Chodkiewicz</w:t>
      </w:r>
      <w:proofErr w:type="spellEnd"/>
      <w:r w:rsidRPr="009F19BC">
        <w:t xml:space="preserve"> 2012; </w:t>
      </w:r>
      <w:proofErr w:type="spellStart"/>
      <w:r w:rsidRPr="009F19BC">
        <w:t>Tusting</w:t>
      </w:r>
      <w:proofErr w:type="spellEnd"/>
      <w:r w:rsidRPr="009F19BC">
        <w:t xml:space="preserve"> 2009; Barton 2008; McNeil &amp; Smith 2004</w:t>
      </w:r>
      <w:r w:rsidR="00132932" w:rsidRPr="009F19BC">
        <w:t>,</w:t>
      </w:r>
      <w:r w:rsidRPr="009F19BC">
        <w:t xml:space="preserve"> in Barton 2008; OECD 2008; Grief, Meyer &amp; Burgess 2007; </w:t>
      </w:r>
      <w:proofErr w:type="spellStart"/>
      <w:r w:rsidRPr="009F19BC">
        <w:t>Berghella</w:t>
      </w:r>
      <w:proofErr w:type="spellEnd"/>
      <w:r w:rsidRPr="009F19BC">
        <w:t xml:space="preserve">, </w:t>
      </w:r>
      <w:proofErr w:type="spellStart"/>
      <w:r w:rsidRPr="009F19BC">
        <w:t>Molenaar</w:t>
      </w:r>
      <w:proofErr w:type="spellEnd"/>
      <w:r w:rsidRPr="009F19BC">
        <w:t xml:space="preserve"> &amp; Wyse 2006). </w:t>
      </w:r>
      <w:proofErr w:type="spellStart"/>
      <w:r w:rsidRPr="009F19BC">
        <w:t>Widin</w:t>
      </w:r>
      <w:proofErr w:type="spellEnd"/>
      <w:r w:rsidRPr="009F19BC">
        <w:t xml:space="preserve">, Yasukawa and </w:t>
      </w:r>
      <w:proofErr w:type="spellStart"/>
      <w:r w:rsidRPr="009F19BC">
        <w:t>Cho</w:t>
      </w:r>
      <w:r w:rsidR="00132932" w:rsidRPr="009F19BC">
        <w:t>dkiewicz</w:t>
      </w:r>
      <w:proofErr w:type="spellEnd"/>
      <w:r w:rsidR="00132932" w:rsidRPr="009F19BC">
        <w:t xml:space="preserve"> (2012) found that well-</w:t>
      </w:r>
      <w:r w:rsidRPr="009F19BC">
        <w:t>qualified, experienced</w:t>
      </w:r>
      <w:r w:rsidR="004A65CA" w:rsidRPr="009F19BC">
        <w:t xml:space="preserve"> </w:t>
      </w:r>
      <w:r w:rsidRPr="009F19BC">
        <w:t xml:space="preserve">teachers draw largely upon their ability to respond to each learner as an individual and that the relationship between the teacher, learners and within the learner group was pivotal to their practice. They further reported that expert teachers were able to respond to </w:t>
      </w:r>
      <w:r w:rsidR="00132932" w:rsidRPr="009F19BC">
        <w:t>the</w:t>
      </w:r>
      <w:r w:rsidRPr="009F19BC">
        <w:t xml:space="preserve"> wide range of contingencies that could impact on learners’ </w:t>
      </w:r>
      <w:r w:rsidR="00BE7E2A" w:rsidRPr="009F19BC">
        <w:t>participation</w:t>
      </w:r>
      <w:r w:rsidRPr="009F19BC">
        <w:t xml:space="preserve"> in the classroom (</w:t>
      </w:r>
      <w:proofErr w:type="spellStart"/>
      <w:r w:rsidRPr="009F19BC">
        <w:t>Widin</w:t>
      </w:r>
      <w:proofErr w:type="spellEnd"/>
      <w:r w:rsidRPr="009F19BC">
        <w:t xml:space="preserve">, Yasukawa &amp; </w:t>
      </w:r>
      <w:proofErr w:type="spellStart"/>
      <w:r w:rsidRPr="009F19BC">
        <w:t>Chodkiewicz</w:t>
      </w:r>
      <w:proofErr w:type="spellEnd"/>
      <w:r w:rsidRPr="009F19BC">
        <w:t xml:space="preserve"> 2012).</w:t>
      </w:r>
    </w:p>
    <w:p w:rsidR="00562BED" w:rsidRDefault="00562BED">
      <w:pPr>
        <w:spacing w:before="0" w:line="240" w:lineRule="auto"/>
        <w:rPr>
          <w:rFonts w:ascii="Arial" w:hAnsi="Arial" w:cs="Tahoma"/>
          <w:sz w:val="28"/>
        </w:rPr>
      </w:pPr>
      <w:r>
        <w:br w:type="page"/>
      </w:r>
    </w:p>
    <w:p w:rsidR="00562BED" w:rsidRPr="009F19BC" w:rsidRDefault="00562BED" w:rsidP="009F19BC">
      <w:pPr>
        <w:pStyle w:val="Heading1"/>
      </w:pPr>
      <w:bookmarkStart w:id="40" w:name="_Toc468885407"/>
      <w:r w:rsidRPr="009F19BC">
        <w:lastRenderedPageBreak/>
        <w:t>Professional development</w:t>
      </w:r>
      <w:bookmarkEnd w:id="40"/>
      <w:r w:rsidRPr="009F19BC">
        <w:t xml:space="preserve"> </w:t>
      </w:r>
    </w:p>
    <w:p w:rsidR="00562BED" w:rsidRPr="009F19BC" w:rsidRDefault="00562BED" w:rsidP="009F19BC">
      <w:pPr>
        <w:pStyle w:val="Heading2"/>
      </w:pPr>
      <w:bookmarkStart w:id="41" w:name="_Toc468885408"/>
      <w:r w:rsidRPr="009F19BC">
        <w:t>Benefits of professional development</w:t>
      </w:r>
      <w:bookmarkEnd w:id="41"/>
    </w:p>
    <w:p w:rsidR="00562BED" w:rsidRPr="00D74BAA" w:rsidRDefault="00562BED" w:rsidP="009F19BC">
      <w:pPr>
        <w:pStyle w:val="Text"/>
      </w:pPr>
      <w:r>
        <w:t xml:space="preserve">In an examination of the Australian </w:t>
      </w:r>
      <w:r w:rsidR="002149EC" w:rsidRPr="00B63C6C">
        <w:t>Workplace English Language and Literacy</w:t>
      </w:r>
      <w:r>
        <w:t xml:space="preserve"> workforce, which included </w:t>
      </w:r>
      <w:r w:rsidR="00BE7E2A">
        <w:t>literacy and numeracy</w:t>
      </w:r>
      <w:r>
        <w:t xml:space="preserve"> practitioners, </w:t>
      </w:r>
      <w:proofErr w:type="spellStart"/>
      <w:r>
        <w:t>Berghella</w:t>
      </w:r>
      <w:proofErr w:type="spellEnd"/>
      <w:r>
        <w:t xml:space="preserve">, </w:t>
      </w:r>
      <w:proofErr w:type="spellStart"/>
      <w:r>
        <w:t>Molenaar</w:t>
      </w:r>
      <w:proofErr w:type="spellEnd"/>
      <w:r>
        <w:t xml:space="preserve"> and Wyse (2016) </w:t>
      </w:r>
      <w:r w:rsidR="00132932">
        <w:t>noted</w:t>
      </w:r>
      <w:r>
        <w:t xml:space="preserve"> that the ability of practitioners to adapt effectively to new teaching requirements depended on </w:t>
      </w:r>
      <w:r w:rsidR="00BE7E2A">
        <w:t>professional development</w:t>
      </w:r>
      <w:r>
        <w:t xml:space="preserve"> that informed them of changes and provided opportunities to understand and reflect upon the implications of the changes to their practice. However, t</w:t>
      </w:r>
      <w:r w:rsidRPr="00D74BAA">
        <w:t xml:space="preserve">here is a </w:t>
      </w:r>
      <w:r w:rsidR="00BA0A7A">
        <w:t>shortage</w:t>
      </w:r>
      <w:r w:rsidRPr="00D74BAA">
        <w:t xml:space="preserve"> of research into the impacts of types of professional development for </w:t>
      </w:r>
      <w:r w:rsidR="007A6CE5">
        <w:t>literacy and numeracy</w:t>
      </w:r>
      <w:r w:rsidRPr="00D74BAA">
        <w:t xml:space="preserve"> teachers and whether it benefits students. A study in Massachusetts</w:t>
      </w:r>
      <w:r w:rsidR="00132932">
        <w:t xml:space="preserve"> in the US</w:t>
      </w:r>
      <w:r w:rsidRPr="00D74BAA">
        <w:t xml:space="preserve"> found that including staff development among a range of initiatives to improve </w:t>
      </w:r>
      <w:r w:rsidR="007A6CE5">
        <w:t>literacy and numeracy</w:t>
      </w:r>
      <w:r w:rsidRPr="00D74BAA">
        <w:t xml:space="preserve"> outcomes for students resulted in measurable improvements (Comings &amp; </w:t>
      </w:r>
      <w:proofErr w:type="spellStart"/>
      <w:r w:rsidRPr="00D74BAA">
        <w:t>Soricone</w:t>
      </w:r>
      <w:proofErr w:type="spellEnd"/>
      <w:r w:rsidRPr="00D74BAA">
        <w:t xml:space="preserve"> 2005</w:t>
      </w:r>
      <w:r w:rsidR="00132932">
        <w:t>,</w:t>
      </w:r>
      <w:r w:rsidRPr="00D74BAA">
        <w:t xml:space="preserve"> in N</w:t>
      </w:r>
      <w:r w:rsidR="00132932">
        <w:t>ational Research and Development Centre</w:t>
      </w:r>
      <w:r w:rsidRPr="00D74BAA">
        <w:t xml:space="preserve"> 2011). Yin et al. (2013) were able to determine that participating in </w:t>
      </w:r>
      <w:r w:rsidR="00BE7E2A">
        <w:t>professional development</w:t>
      </w:r>
      <w:r w:rsidRPr="00D74BAA">
        <w:t xml:space="preserve"> sometimes correlated with student performance</w:t>
      </w:r>
      <w:r w:rsidR="00132932">
        <w:t>,</w:t>
      </w:r>
      <w:r w:rsidRPr="00D74BAA">
        <w:t xml:space="preserve"> but the results were not uniform. In New Zealand, Hunter (2016</w:t>
      </w:r>
      <w:r w:rsidR="00132932">
        <w:t>, p.235</w:t>
      </w:r>
      <w:r w:rsidRPr="00D74BAA">
        <w:t>) reported that</w:t>
      </w:r>
      <w:r w:rsidR="00132932">
        <w:t>,</w:t>
      </w:r>
      <w:r w:rsidRPr="00D74BAA">
        <w:t xml:space="preserve"> while student feedback about </w:t>
      </w:r>
      <w:r w:rsidR="00A450AF">
        <w:t xml:space="preserve">what </w:t>
      </w:r>
      <w:r w:rsidRPr="00D74BAA">
        <w:t xml:space="preserve">the </w:t>
      </w:r>
      <w:r w:rsidR="00BE7E2A">
        <w:t>professional development</w:t>
      </w:r>
      <w:r w:rsidRPr="00D74BAA">
        <w:t xml:space="preserve"> course had d</w:t>
      </w:r>
      <w:r>
        <w:t>elivered was extremely positive</w:t>
      </w:r>
      <w:r w:rsidRPr="00D74BAA">
        <w:t>, her anecdotal findings from a few students at later dates were:</w:t>
      </w:r>
    </w:p>
    <w:p w:rsidR="00562BED" w:rsidRPr="00D74BAA" w:rsidRDefault="00562BED" w:rsidP="00562BED">
      <w:pPr>
        <w:pStyle w:val="Quote"/>
      </w:pPr>
      <w:proofErr w:type="gramStart"/>
      <w:r w:rsidRPr="00D74BAA">
        <w:t>when</w:t>
      </w:r>
      <w:proofErr w:type="gramEnd"/>
      <w:r w:rsidRPr="00D74BAA">
        <w:t xml:space="preserve"> the course is finished, practitioners return to the constraining performativity culture of their teaching contexts. Moreover, new ways of thinking about literacy and numeracy may develop over time as affordances become apparent</w:t>
      </w:r>
      <w:r w:rsidR="00A450AF">
        <w:t>.</w:t>
      </w:r>
    </w:p>
    <w:p w:rsidR="00562BED" w:rsidRPr="009F19BC" w:rsidRDefault="00562BED" w:rsidP="009F19BC">
      <w:pPr>
        <w:pStyle w:val="Text"/>
      </w:pPr>
      <w:r w:rsidRPr="009F19BC">
        <w:t>This suggests that</w:t>
      </w:r>
      <w:r w:rsidR="00132932" w:rsidRPr="009F19BC">
        <w:t>,</w:t>
      </w:r>
      <w:r w:rsidRPr="009F19BC">
        <w:t xml:space="preserve"> in terms of researching the impact of </w:t>
      </w:r>
      <w:r w:rsidR="007A6CE5" w:rsidRPr="009F19BC">
        <w:t>professional development</w:t>
      </w:r>
      <w:r w:rsidRPr="009F19BC">
        <w:t xml:space="preserve"> on teachers’ practice or efficacy, evaluations undertaken at the end of the course may not be indicative. Furthermore, in a practice context influenced by the needs of numerous stakeholders</w:t>
      </w:r>
      <w:r w:rsidR="009F4558" w:rsidRPr="009F19BC">
        <w:t>,</w:t>
      </w:r>
      <w:r w:rsidRPr="009F19BC">
        <w:t xml:space="preserve"> beyond the learners, it is unlikely that a simple causal relationship could be drawn between </w:t>
      </w:r>
      <w:r w:rsidR="007A6CE5" w:rsidRPr="009F19BC">
        <w:t>professional development</w:t>
      </w:r>
      <w:r w:rsidRPr="009F19BC">
        <w:t xml:space="preserve"> and learner outcomes, or other aspects of teacher efficacy.</w:t>
      </w:r>
    </w:p>
    <w:p w:rsidR="00562BED" w:rsidRPr="00562BED" w:rsidRDefault="00562BED" w:rsidP="00562BED">
      <w:pPr>
        <w:pStyle w:val="Heading2"/>
      </w:pPr>
      <w:bookmarkStart w:id="42" w:name="_Toc468885409"/>
      <w:r w:rsidRPr="00562BED">
        <w:t>Training to target whole workforces</w:t>
      </w:r>
      <w:bookmarkEnd w:id="42"/>
    </w:p>
    <w:p w:rsidR="00562BED" w:rsidRPr="00021CB0" w:rsidRDefault="007A6CE5" w:rsidP="00021CB0">
      <w:pPr>
        <w:pStyle w:val="Text"/>
      </w:pPr>
      <w:r w:rsidRPr="00021CB0">
        <w:t>Professional development</w:t>
      </w:r>
      <w:r w:rsidR="00BE7E2A" w:rsidRPr="00021CB0">
        <w:t xml:space="preserve"> that addresses life-</w:t>
      </w:r>
      <w:r w:rsidR="00562BED" w:rsidRPr="00021CB0">
        <w:t xml:space="preserve">wide </w:t>
      </w:r>
      <w:r w:rsidR="00BE7E2A" w:rsidRPr="00021CB0">
        <w:t>literacy and numeracy</w:t>
      </w:r>
      <w:r w:rsidR="00562BED" w:rsidRPr="00021CB0">
        <w:t xml:space="preserve"> delivery (such as literacy for personal, community, study and work purposes) develops a flexible, adaptable and sustainable workforce. Recently in Australia substantial federal government funding has only bee</w:t>
      </w:r>
      <w:r w:rsidR="00132932" w:rsidRPr="00021CB0">
        <w:t>n provided for employment-</w:t>
      </w:r>
      <w:r w:rsidR="00885196" w:rsidRPr="00021CB0">
        <w:t>focus</w:t>
      </w:r>
      <w:r w:rsidR="00562BED" w:rsidRPr="00021CB0">
        <w:t xml:space="preserve">ed programs (Black </w:t>
      </w:r>
      <w:r w:rsidR="00132932" w:rsidRPr="00021CB0">
        <w:t>&amp;</w:t>
      </w:r>
      <w:r w:rsidR="00562BED" w:rsidRPr="00021CB0">
        <w:t xml:space="preserve"> Yasukawa 2014)</w:t>
      </w:r>
      <w:r w:rsidR="00132932" w:rsidRPr="00021CB0">
        <w:t>,</w:t>
      </w:r>
      <w:r w:rsidR="00562BED" w:rsidRPr="00021CB0">
        <w:t xml:space="preserve"> leading to </w:t>
      </w:r>
      <w:r w:rsidRPr="00021CB0">
        <w:t>professional development</w:t>
      </w:r>
      <w:r w:rsidR="00885196" w:rsidRPr="00021CB0">
        <w:t xml:space="preserve"> focu</w:t>
      </w:r>
      <w:r w:rsidR="00562BED" w:rsidRPr="00021CB0">
        <w:t xml:space="preserve">sed on literacy in the context of employment outcomes. The UK-based </w:t>
      </w:r>
      <w:r w:rsidR="00132932" w:rsidRPr="00021CB0">
        <w:t>National Research and Development Centre</w:t>
      </w:r>
      <w:r w:rsidR="00562BED" w:rsidRPr="00021CB0">
        <w:t xml:space="preserve"> (2011) contrasts the ‘stagnation’ of adult </w:t>
      </w:r>
      <w:r w:rsidRPr="00021CB0">
        <w:t>literacy and numeracy</w:t>
      </w:r>
      <w:r w:rsidR="00562BED" w:rsidRPr="00021CB0">
        <w:t xml:space="preserve"> in Australia </w:t>
      </w:r>
      <w:r w:rsidR="00132932" w:rsidRPr="00021CB0">
        <w:t>with</w:t>
      </w:r>
      <w:r w:rsidR="00562BED" w:rsidRPr="00021CB0">
        <w:t xml:space="preserve"> ‘structurally robust’ </w:t>
      </w:r>
      <w:r w:rsidRPr="00021CB0">
        <w:t>literacy and numeracy</w:t>
      </w:r>
      <w:r w:rsidR="00562BED" w:rsidRPr="00021CB0">
        <w:t xml:space="preserve"> systems </w:t>
      </w:r>
      <w:r w:rsidR="00132932" w:rsidRPr="00021CB0">
        <w:t>in countries such as Sweden, which</w:t>
      </w:r>
      <w:r w:rsidR="00562BED" w:rsidRPr="00021CB0">
        <w:t xml:space="preserve"> are sustainable and effective because they are based on a broad view of adult literacy</w:t>
      </w:r>
      <w:r w:rsidR="00132932" w:rsidRPr="00021CB0">
        <w:t>, one</w:t>
      </w:r>
      <w:r w:rsidR="00562BED" w:rsidRPr="00021CB0">
        <w:t xml:space="preserve"> that recognises </w:t>
      </w:r>
      <w:r w:rsidR="00040A50" w:rsidRPr="00021CB0">
        <w:t xml:space="preserve">the </w:t>
      </w:r>
      <w:r w:rsidR="00562BED" w:rsidRPr="00021CB0">
        <w:t xml:space="preserve">social capital as well as </w:t>
      </w:r>
      <w:r w:rsidR="009F4558" w:rsidRPr="00021CB0">
        <w:t xml:space="preserve">the </w:t>
      </w:r>
      <w:r w:rsidR="00562BED" w:rsidRPr="00021CB0">
        <w:t xml:space="preserve">economic </w:t>
      </w:r>
      <w:r w:rsidR="00040A50" w:rsidRPr="00021CB0">
        <w:t>outcomes</w:t>
      </w:r>
      <w:r w:rsidR="00562BED" w:rsidRPr="00021CB0">
        <w:t xml:space="preserve">. Nordic teacher training encompasses literacy from a range of perspectives, not just a human capital discourse. A human capital view of </w:t>
      </w:r>
      <w:r w:rsidRPr="00021CB0">
        <w:t>literacy and numeracy</w:t>
      </w:r>
      <w:r w:rsidR="00562BED" w:rsidRPr="00021CB0">
        <w:t xml:space="preserve"> and a social capital view of </w:t>
      </w:r>
      <w:r w:rsidRPr="00021CB0">
        <w:t>literacy and numeracy</w:t>
      </w:r>
      <w:r w:rsidR="00562BED" w:rsidRPr="00021CB0">
        <w:t xml:space="preserve"> are not mutually exclusive and can together effectively drive </w:t>
      </w:r>
      <w:r w:rsidRPr="00021CB0">
        <w:t>literacy and numeracy</w:t>
      </w:r>
      <w:r w:rsidR="00562BED" w:rsidRPr="00021CB0">
        <w:t xml:space="preserve"> provi</w:t>
      </w:r>
      <w:r w:rsidR="00885196" w:rsidRPr="00021CB0">
        <w:t>sion (Merrifield 2012; Black &amp;</w:t>
      </w:r>
      <w:r w:rsidR="00562BED" w:rsidRPr="00021CB0">
        <w:t xml:space="preserve"> Yasukawa 2010; S</w:t>
      </w:r>
      <w:r w:rsidR="00885196" w:rsidRPr="00021CB0">
        <w:t xml:space="preserve">t Clair 2008; </w:t>
      </w:r>
      <w:proofErr w:type="spellStart"/>
      <w:r w:rsidR="00885196" w:rsidRPr="00021CB0">
        <w:t>Balatti</w:t>
      </w:r>
      <w:proofErr w:type="spellEnd"/>
      <w:r w:rsidR="00885196" w:rsidRPr="00021CB0">
        <w:t>, Black &amp;</w:t>
      </w:r>
      <w:r w:rsidR="00562BED" w:rsidRPr="00021CB0">
        <w:t xml:space="preserve"> Falk 2006). This suggests</w:t>
      </w:r>
      <w:r w:rsidR="00040A50" w:rsidRPr="00021CB0">
        <w:t xml:space="preserve"> that</w:t>
      </w:r>
      <w:r w:rsidR="00562BED" w:rsidRPr="00021CB0">
        <w:t xml:space="preserve"> the </w:t>
      </w:r>
      <w:r w:rsidRPr="00021CB0">
        <w:t>literacy and numeracy</w:t>
      </w:r>
      <w:r w:rsidR="00562BED" w:rsidRPr="00021CB0">
        <w:t xml:space="preserve"> workforce would benefit from </w:t>
      </w:r>
      <w:r w:rsidR="00BE7E2A" w:rsidRPr="00021CB0">
        <w:t>professional development</w:t>
      </w:r>
      <w:r w:rsidR="00562BED" w:rsidRPr="00021CB0">
        <w:t xml:space="preserve"> in developing literacy in a range of contexts and for a variety of purposes.</w:t>
      </w:r>
    </w:p>
    <w:p w:rsidR="00562BED" w:rsidRPr="00562BED" w:rsidRDefault="00562BED" w:rsidP="00021CB0">
      <w:pPr>
        <w:pStyle w:val="Text"/>
      </w:pPr>
      <w:r w:rsidRPr="00021CB0">
        <w:lastRenderedPageBreak/>
        <w:t xml:space="preserve">The LINC Tasmanian state-wide community literacy 26TEN program provides an example of an Australian organisation delivering large-scale </w:t>
      </w:r>
      <w:r w:rsidR="00BE7E2A" w:rsidRPr="00021CB0">
        <w:t>professional development</w:t>
      </w:r>
      <w:r w:rsidRPr="00021CB0">
        <w:t xml:space="preserve"> to its </w:t>
      </w:r>
      <w:r w:rsidR="007A6CE5" w:rsidRPr="00021CB0">
        <w:t>literacy and numeracy</w:t>
      </w:r>
      <w:r w:rsidRPr="00021CB0">
        <w:t xml:space="preserve"> workforce. The campaign is a community literacy program using a combination of </w:t>
      </w:r>
      <w:r w:rsidR="007A6CE5" w:rsidRPr="00021CB0">
        <w:t>literacy and numeracy</w:t>
      </w:r>
      <w:r w:rsidRPr="00021CB0">
        <w:t xml:space="preserve"> professionals, volunteers and non-trained staff (</w:t>
      </w:r>
      <w:r w:rsidR="00040A50" w:rsidRPr="00021CB0">
        <w:t xml:space="preserve">Tasmanian </w:t>
      </w:r>
      <w:r w:rsidRPr="00021CB0">
        <w:t>Departme</w:t>
      </w:r>
      <w:r w:rsidR="009F4558" w:rsidRPr="00021CB0">
        <w:t>nt of Education &amp; LINC Tasmania</w:t>
      </w:r>
      <w:r w:rsidRPr="00021CB0">
        <w:t xml:space="preserve"> 2015). Qualified literacy teachers support community and workplace programs. One of the goals is to develop the </w:t>
      </w:r>
      <w:r w:rsidR="007A6CE5" w:rsidRPr="00021CB0">
        <w:t>literacy and numeracy</w:t>
      </w:r>
      <w:r w:rsidRPr="00021CB0">
        <w:t xml:space="preserve"> workforce with </w:t>
      </w:r>
      <w:r w:rsidR="00885196" w:rsidRPr="00021CB0">
        <w:t>professional development</w:t>
      </w:r>
      <w:r w:rsidRPr="00021CB0">
        <w:t xml:space="preserve"> through communities of practice and other </w:t>
      </w:r>
      <w:r w:rsidR="00885196" w:rsidRPr="00021CB0">
        <w:t>professional development</w:t>
      </w:r>
      <w:r w:rsidRPr="00021CB0">
        <w:t xml:space="preserve"> opportunities. The 2015 annual report showed there </w:t>
      </w:r>
      <w:r w:rsidR="00885196" w:rsidRPr="00021CB0">
        <w:t xml:space="preserve">to be </w:t>
      </w:r>
      <w:r w:rsidRPr="00021CB0">
        <w:t>a high level of satisfaction from the adult students</w:t>
      </w:r>
      <w:r w:rsidR="00040A50" w:rsidRPr="00021CB0">
        <w:t>,</w:t>
      </w:r>
      <w:r w:rsidRPr="00021CB0">
        <w:t xml:space="preserve"> who felt their individual needs had been met. The program also met community needs and created networks within and between communities (</w:t>
      </w:r>
      <w:r w:rsidR="00040A50" w:rsidRPr="00021CB0">
        <w:t xml:space="preserve">Tasmanian </w:t>
      </w:r>
      <w:r w:rsidRPr="00021CB0">
        <w:t>Departme</w:t>
      </w:r>
      <w:r w:rsidR="00040A50" w:rsidRPr="00021CB0">
        <w:t>nt of Education &amp; LINC Tasmania</w:t>
      </w:r>
      <w:r w:rsidRPr="00021CB0">
        <w:t xml:space="preserve"> 2015). </w:t>
      </w:r>
    </w:p>
    <w:p w:rsidR="00562BED" w:rsidRPr="00970700" w:rsidRDefault="00562BED" w:rsidP="00562BED">
      <w:pPr>
        <w:pStyle w:val="Heading2"/>
      </w:pPr>
      <w:bookmarkStart w:id="43" w:name="_Toc468885410"/>
      <w:r w:rsidRPr="00970700">
        <w:t xml:space="preserve">Professional development </w:t>
      </w:r>
      <w:r>
        <w:t>needs</w:t>
      </w:r>
      <w:bookmarkEnd w:id="43"/>
    </w:p>
    <w:p w:rsidR="00562BED" w:rsidRPr="00021CB0" w:rsidRDefault="00562BED" w:rsidP="00021CB0">
      <w:pPr>
        <w:pStyle w:val="Text"/>
      </w:pPr>
      <w:r w:rsidRPr="00021CB0">
        <w:t xml:space="preserve">The literature identified four broad areas of </w:t>
      </w:r>
      <w:r w:rsidR="00C37681" w:rsidRPr="00021CB0">
        <w:t>professional development</w:t>
      </w:r>
      <w:r w:rsidRPr="00021CB0">
        <w:t xml:space="preserve"> required by </w:t>
      </w:r>
      <w:r w:rsidR="00C37681" w:rsidRPr="00021CB0">
        <w:t>literacy and numeracy</w:t>
      </w:r>
      <w:r w:rsidRPr="00021CB0">
        <w:t xml:space="preserve"> practitioners: </w:t>
      </w:r>
    </w:p>
    <w:p w:rsidR="00562BED" w:rsidRPr="00562BED" w:rsidRDefault="00562BED" w:rsidP="00562BED">
      <w:pPr>
        <w:pStyle w:val="Dotpoint1"/>
      </w:pPr>
      <w:r w:rsidRPr="00562BED">
        <w:t>theoretical and conceptual understandings</w:t>
      </w:r>
    </w:p>
    <w:p w:rsidR="00562BED" w:rsidRPr="00562BED" w:rsidRDefault="00C37681" w:rsidP="00562BED">
      <w:pPr>
        <w:pStyle w:val="Dotpoint1"/>
      </w:pPr>
      <w:r>
        <w:t>literacy and numeracy</w:t>
      </w:r>
      <w:r w:rsidR="00562BED" w:rsidRPr="00562BED">
        <w:t xml:space="preserve"> content</w:t>
      </w:r>
    </w:p>
    <w:p w:rsidR="00562BED" w:rsidRPr="00562BED" w:rsidRDefault="00562BED" w:rsidP="00562BED">
      <w:pPr>
        <w:pStyle w:val="Dotpoint1"/>
      </w:pPr>
      <w:r w:rsidRPr="00562BED">
        <w:t xml:space="preserve">the use of compliance systems </w:t>
      </w:r>
    </w:p>
    <w:p w:rsidR="00562BED" w:rsidRPr="00562BED" w:rsidRDefault="00562BED" w:rsidP="00562BED">
      <w:pPr>
        <w:pStyle w:val="Dotpoint1"/>
      </w:pPr>
      <w:proofErr w:type="gramStart"/>
      <w:r w:rsidRPr="00562BED">
        <w:t>skills</w:t>
      </w:r>
      <w:proofErr w:type="gramEnd"/>
      <w:r w:rsidRPr="00562BED">
        <w:t xml:space="preserve"> for working collaboratively</w:t>
      </w:r>
      <w:r w:rsidR="00040A50">
        <w:t>.</w:t>
      </w:r>
    </w:p>
    <w:p w:rsidR="00562BED" w:rsidRDefault="00562BED" w:rsidP="00562BED">
      <w:pPr>
        <w:pStyle w:val="Text"/>
      </w:pPr>
      <w:r w:rsidRPr="00854018">
        <w:t xml:space="preserve">The importance of linking research to practice by enabling practitioners to be informed about new findings, particularly in relation to theoretical and conceptual understandings, is a prevalent theme in the literature, yet in Australia there are decreasing mechanisms for this to happen (Black &amp; Yasukawa 2010). It is generally agreed that practitioners benefit from </w:t>
      </w:r>
      <w:r>
        <w:t xml:space="preserve">being aware of current </w:t>
      </w:r>
      <w:r w:rsidRPr="00854018">
        <w:t>research</w:t>
      </w:r>
      <w:r w:rsidR="003F2434">
        <w:t>, which enables them</w:t>
      </w:r>
      <w:r w:rsidRPr="00854018">
        <w:t xml:space="preserve"> </w:t>
      </w:r>
      <w:r>
        <w:t>to</w:t>
      </w:r>
      <w:r w:rsidRPr="00854018">
        <w:t xml:space="preserve"> develop an understanding of </w:t>
      </w:r>
      <w:r w:rsidR="00040A50">
        <w:t xml:space="preserve">the </w:t>
      </w:r>
      <w:r w:rsidRPr="00854018">
        <w:t xml:space="preserve">theories and conceptual frameworks that underpin </w:t>
      </w:r>
      <w:r w:rsidR="00BE7E2A">
        <w:t>literacy and numeracy</w:t>
      </w:r>
      <w:r w:rsidRPr="00854018">
        <w:t xml:space="preserve"> learning and delivery models (Jacobson 2016; Wallace 2010; Swain </w:t>
      </w:r>
      <w:r w:rsidR="00EA08E1">
        <w:t>&amp;</w:t>
      </w:r>
      <w:r w:rsidRPr="00854018">
        <w:t xml:space="preserve"> Swan 2009; </w:t>
      </w:r>
      <w:proofErr w:type="spellStart"/>
      <w:r w:rsidRPr="00854018">
        <w:t>Wheelaha</w:t>
      </w:r>
      <w:r w:rsidR="001837C1">
        <w:t>n</w:t>
      </w:r>
      <w:proofErr w:type="spellEnd"/>
      <w:r w:rsidR="001837C1">
        <w:t xml:space="preserve"> 2007; Smith, </w:t>
      </w:r>
      <w:proofErr w:type="spellStart"/>
      <w:r w:rsidR="001837C1">
        <w:t>Bingman</w:t>
      </w:r>
      <w:proofErr w:type="spellEnd"/>
      <w:r w:rsidR="001837C1">
        <w:t>, &amp; Beall</w:t>
      </w:r>
      <w:r w:rsidRPr="00854018">
        <w:t xml:space="preserve"> 2007; Morton, McGuire &amp; </w:t>
      </w:r>
      <w:proofErr w:type="spellStart"/>
      <w:r w:rsidRPr="00854018">
        <w:t>Bayn</w:t>
      </w:r>
      <w:r w:rsidR="00EA08E1">
        <w:t>ham</w:t>
      </w:r>
      <w:proofErr w:type="spellEnd"/>
      <w:r w:rsidR="00EA08E1">
        <w:t xml:space="preserve"> 2006). Engaging with higher-</w:t>
      </w:r>
      <w:r w:rsidRPr="00854018">
        <w:t>order thinking allows teachers to participate in the field beyond their</w:t>
      </w:r>
      <w:r>
        <w:t xml:space="preserve"> immediate work context</w:t>
      </w:r>
      <w:r w:rsidRPr="00854018">
        <w:t xml:space="preserve">. For example, Jacobson calls for professional development that focuses on more than ‘technical answers to improve education’, proposing </w:t>
      </w:r>
      <w:r w:rsidR="00EA08E1">
        <w:t xml:space="preserve">that </w:t>
      </w:r>
      <w:r w:rsidRPr="00854018">
        <w:t>teaching should assist learners to understand the socio</w:t>
      </w:r>
      <w:r w:rsidR="00735EA9">
        <w:t>-</w:t>
      </w:r>
      <w:r w:rsidRPr="00854018">
        <w:t>economic and socio-political environment in which their training is placed (Jacobson 2016, p.14).</w:t>
      </w:r>
      <w:r w:rsidRPr="00177A57">
        <w:t xml:space="preserve"> </w:t>
      </w:r>
      <w:r w:rsidRPr="00854018">
        <w:t xml:space="preserve">Including research findings in </w:t>
      </w:r>
      <w:r w:rsidR="007A6CE5">
        <w:t>professional development</w:t>
      </w:r>
      <w:r w:rsidRPr="00854018">
        <w:t xml:space="preserve"> relies on having a strong body of rigorous research</w:t>
      </w:r>
      <w:r w:rsidR="003F2434">
        <w:t xml:space="preserve"> from which to draw</w:t>
      </w:r>
      <w:r w:rsidRPr="00854018">
        <w:t>. Recent research in Australia is described by Black and Yasukawa (2014) as often driven and fund</w:t>
      </w:r>
      <w:r w:rsidR="00EA08E1">
        <w:t>ed by parties engaged in policy-</w:t>
      </w:r>
      <w:r w:rsidRPr="00854018">
        <w:t xml:space="preserve">making. This type of research seeks to support policy decisions and provide solutions to aid the implementation of policy without questioning the fundamental beliefs underpinning the policy and therefore the research. In contrast, critical academic research that examines and questions policy is rare. This is described as research ‘for policy’ in contrast to research ‘of policy’ (Black </w:t>
      </w:r>
      <w:r w:rsidR="00885196">
        <w:t>&amp;</w:t>
      </w:r>
      <w:r w:rsidR="00735EA9">
        <w:t xml:space="preserve"> </w:t>
      </w:r>
      <w:r w:rsidRPr="00854018">
        <w:t xml:space="preserve">Yasukawa 2014). Being able to critically evaluate research and policy is a challenge for the </w:t>
      </w:r>
      <w:r w:rsidR="007A6CE5">
        <w:t>literacy and numeracy</w:t>
      </w:r>
      <w:r w:rsidRPr="00854018">
        <w:t xml:space="preserve"> workforce, particularly given </w:t>
      </w:r>
      <w:r>
        <w:t>the fragmentation of the field</w:t>
      </w:r>
      <w:r w:rsidRPr="00854018">
        <w:t xml:space="preserve"> at present and the diminishing opportunities to engage in a university qualification</w:t>
      </w:r>
      <w:r w:rsidR="003F2434">
        <w:t>,</w:t>
      </w:r>
      <w:r w:rsidRPr="00854018">
        <w:t xml:space="preserve"> where practitioners have traditionally refined their metacognitive understandings (</w:t>
      </w:r>
      <w:proofErr w:type="spellStart"/>
      <w:r w:rsidRPr="00854018">
        <w:t>Wheelahan</w:t>
      </w:r>
      <w:proofErr w:type="spellEnd"/>
      <w:r w:rsidRPr="00854018">
        <w:t xml:space="preserve"> 2007) and consequently their skills for engaging critically with research.</w:t>
      </w:r>
    </w:p>
    <w:p w:rsidR="00562BED" w:rsidRPr="00021CB0" w:rsidRDefault="00562BED" w:rsidP="00021CB0">
      <w:pPr>
        <w:pStyle w:val="Text"/>
        <w:rPr>
          <w:rFonts w:eastAsiaTheme="minorHAnsi"/>
        </w:rPr>
      </w:pPr>
      <w:r w:rsidRPr="00021CB0">
        <w:lastRenderedPageBreak/>
        <w:t>P</w:t>
      </w:r>
      <w:r w:rsidRPr="00021CB0">
        <w:rPr>
          <w:rFonts w:eastAsiaTheme="minorHAnsi"/>
        </w:rPr>
        <w:t>ractitioners’ numeracy skills have been raised as a specific area of concern by some researchers (</w:t>
      </w:r>
      <w:r w:rsidR="003F2434" w:rsidRPr="00021CB0">
        <w:rPr>
          <w:rFonts w:eastAsiaTheme="minorHAnsi"/>
        </w:rPr>
        <w:t>for example,</w:t>
      </w:r>
      <w:r w:rsidRPr="00021CB0">
        <w:rPr>
          <w:rFonts w:eastAsiaTheme="minorHAnsi"/>
        </w:rPr>
        <w:t xml:space="preserve"> </w:t>
      </w:r>
      <w:proofErr w:type="spellStart"/>
      <w:r w:rsidRPr="00021CB0">
        <w:rPr>
          <w:rFonts w:eastAsiaTheme="minorHAnsi"/>
        </w:rPr>
        <w:t>Wignall</w:t>
      </w:r>
      <w:proofErr w:type="spellEnd"/>
      <w:r w:rsidRPr="00021CB0">
        <w:rPr>
          <w:rFonts w:eastAsiaTheme="minorHAnsi"/>
        </w:rPr>
        <w:t xml:space="preserve"> 2015; </w:t>
      </w:r>
      <w:proofErr w:type="spellStart"/>
      <w:r w:rsidRPr="00021CB0">
        <w:rPr>
          <w:rFonts w:eastAsiaTheme="minorHAnsi"/>
        </w:rPr>
        <w:t>Saliga</w:t>
      </w:r>
      <w:proofErr w:type="spellEnd"/>
      <w:r w:rsidRPr="00021CB0">
        <w:rPr>
          <w:rFonts w:eastAsiaTheme="minorHAnsi"/>
        </w:rPr>
        <w:t xml:space="preserve"> et al. 2015; Tout 2014; </w:t>
      </w:r>
      <w:proofErr w:type="spellStart"/>
      <w:r w:rsidRPr="00021CB0">
        <w:rPr>
          <w:rFonts w:eastAsiaTheme="minorHAnsi"/>
        </w:rPr>
        <w:t>Berghella</w:t>
      </w:r>
      <w:proofErr w:type="spellEnd"/>
      <w:r w:rsidRPr="00021CB0">
        <w:rPr>
          <w:rFonts w:eastAsiaTheme="minorHAnsi"/>
        </w:rPr>
        <w:t xml:space="preserve"> &amp; </w:t>
      </w:r>
      <w:proofErr w:type="spellStart"/>
      <w:r w:rsidRPr="00021CB0">
        <w:rPr>
          <w:rFonts w:eastAsiaTheme="minorHAnsi"/>
        </w:rPr>
        <w:t>Molenaar</w:t>
      </w:r>
      <w:proofErr w:type="spellEnd"/>
      <w:r w:rsidRPr="00021CB0">
        <w:rPr>
          <w:rFonts w:eastAsiaTheme="minorHAnsi"/>
        </w:rPr>
        <w:t xml:space="preserve"> 2013). </w:t>
      </w:r>
      <w:proofErr w:type="spellStart"/>
      <w:r w:rsidRPr="00021CB0">
        <w:rPr>
          <w:rFonts w:eastAsiaTheme="minorHAnsi"/>
        </w:rPr>
        <w:t>Berghella</w:t>
      </w:r>
      <w:proofErr w:type="spellEnd"/>
      <w:r w:rsidRPr="00021CB0">
        <w:rPr>
          <w:rFonts w:eastAsiaTheme="minorHAnsi"/>
        </w:rPr>
        <w:t xml:space="preserve"> and </w:t>
      </w:r>
      <w:proofErr w:type="spellStart"/>
      <w:r w:rsidRPr="00021CB0">
        <w:rPr>
          <w:rFonts w:eastAsiaTheme="minorHAnsi"/>
        </w:rPr>
        <w:t>Molenaar</w:t>
      </w:r>
      <w:proofErr w:type="spellEnd"/>
      <w:r w:rsidRPr="00021CB0">
        <w:rPr>
          <w:rFonts w:eastAsiaTheme="minorHAnsi"/>
        </w:rPr>
        <w:t xml:space="preserve"> (2013) included 44 self-identified numeracy specialists in their research and found few had specific numeracy qualifications and that most </w:t>
      </w:r>
      <w:r w:rsidR="00735EA9">
        <w:rPr>
          <w:rFonts w:eastAsiaTheme="minorHAnsi"/>
        </w:rPr>
        <w:br/>
      </w:r>
      <w:r w:rsidRPr="00021CB0">
        <w:rPr>
          <w:rFonts w:eastAsiaTheme="minorHAnsi"/>
        </w:rPr>
        <w:t xml:space="preserve">over-estimated their skills when required to self-assess. They called for further research into how to effectively test practitioners to determine whether their numeracy skills were adequate for a workplace context. No current Australian research was located that considers the numeracy teaching skills of </w:t>
      </w:r>
      <w:r w:rsidR="007A6CE5" w:rsidRPr="00021CB0">
        <w:t>literacy and numeracy</w:t>
      </w:r>
      <w:r w:rsidRPr="00021CB0">
        <w:rPr>
          <w:rFonts w:eastAsiaTheme="minorHAnsi"/>
        </w:rPr>
        <w:t xml:space="preserve"> specialists in contexts other than numeracy for work. Circelli (2015) found </w:t>
      </w:r>
      <w:r w:rsidR="00C37681" w:rsidRPr="00021CB0">
        <w:rPr>
          <w:rFonts w:eastAsiaTheme="minorHAnsi"/>
        </w:rPr>
        <w:t>that around 41%</w:t>
      </w:r>
      <w:r w:rsidRPr="00021CB0">
        <w:rPr>
          <w:rFonts w:eastAsiaTheme="minorHAnsi"/>
        </w:rPr>
        <w:t xml:space="preserve"> of foundation skills practitioners who participated in the survey</w:t>
      </w:r>
      <w:r w:rsidRPr="00021CB0" w:rsidDel="005A1C81">
        <w:rPr>
          <w:rFonts w:eastAsiaTheme="minorHAnsi"/>
        </w:rPr>
        <w:t xml:space="preserve"> </w:t>
      </w:r>
      <w:r w:rsidRPr="00021CB0">
        <w:rPr>
          <w:rFonts w:eastAsiaTheme="minorHAnsi"/>
        </w:rPr>
        <w:t>in Australia had been involved in the numeracy field for over 10 years, suggesting a significant bank of experience ex</w:t>
      </w:r>
      <w:r w:rsidR="00EA08E1" w:rsidRPr="00021CB0">
        <w:rPr>
          <w:rFonts w:eastAsiaTheme="minorHAnsi"/>
        </w:rPr>
        <w:t>ists in the field. The data do</w:t>
      </w:r>
      <w:r w:rsidRPr="00021CB0">
        <w:rPr>
          <w:rFonts w:eastAsiaTheme="minorHAnsi"/>
        </w:rPr>
        <w:t xml:space="preserve"> not specify numbers for num</w:t>
      </w:r>
      <w:r w:rsidR="00EA08E1" w:rsidRPr="00021CB0">
        <w:rPr>
          <w:rFonts w:eastAsiaTheme="minorHAnsi"/>
        </w:rPr>
        <w:t>eracy qualifications but reveal</w:t>
      </w:r>
      <w:r w:rsidRPr="00021CB0">
        <w:rPr>
          <w:rFonts w:eastAsiaTheme="minorHAnsi"/>
        </w:rPr>
        <w:t xml:space="preserve"> that res</w:t>
      </w:r>
      <w:r w:rsidR="00EA08E1" w:rsidRPr="00021CB0">
        <w:rPr>
          <w:rFonts w:eastAsiaTheme="minorHAnsi"/>
        </w:rPr>
        <w:t>pondents held a variety of high-</w:t>
      </w:r>
      <w:r w:rsidRPr="00021CB0">
        <w:rPr>
          <w:rFonts w:eastAsiaTheme="minorHAnsi"/>
        </w:rPr>
        <w:t>level qualifications directly related to numeracy and mathematics</w:t>
      </w:r>
      <w:r w:rsidR="00EA08E1" w:rsidRPr="00021CB0">
        <w:rPr>
          <w:rFonts w:eastAsiaTheme="minorHAnsi"/>
        </w:rPr>
        <w:t>, which</w:t>
      </w:r>
      <w:r w:rsidRPr="00021CB0">
        <w:rPr>
          <w:rFonts w:eastAsiaTheme="minorHAnsi"/>
        </w:rPr>
        <w:t xml:space="preserve"> included a doctorate, master</w:t>
      </w:r>
      <w:r w:rsidR="00EA08E1" w:rsidRPr="00021CB0">
        <w:rPr>
          <w:rFonts w:eastAsiaTheme="minorHAnsi"/>
        </w:rPr>
        <w:t>’</w:t>
      </w:r>
      <w:r w:rsidRPr="00021CB0">
        <w:rPr>
          <w:rFonts w:eastAsiaTheme="minorHAnsi"/>
        </w:rPr>
        <w:t xml:space="preserve">s and graduate diplomas with adult literacy and numeracy specialties and bachelor degrees in secondary mathematics. </w:t>
      </w:r>
    </w:p>
    <w:p w:rsidR="00562BED" w:rsidRPr="00021CB0" w:rsidRDefault="00562BED" w:rsidP="00021CB0">
      <w:pPr>
        <w:pStyle w:val="Text"/>
      </w:pPr>
      <w:r w:rsidRPr="00021CB0">
        <w:t xml:space="preserve">Another area of </w:t>
      </w:r>
      <w:r w:rsidR="007A6CE5" w:rsidRPr="00021CB0">
        <w:t>professional development</w:t>
      </w:r>
      <w:r w:rsidRPr="00021CB0">
        <w:t xml:space="preserve"> content is that of digital or technological skills. </w:t>
      </w:r>
      <w:r w:rsidR="00EA08E1" w:rsidRPr="00021CB0">
        <w:t>While not</w:t>
      </w:r>
      <w:r w:rsidR="00FD0444" w:rsidRPr="00021CB0">
        <w:t xml:space="preserve"> specifically targeting the literacy and numeracy or foundation skills workforce, t</w:t>
      </w:r>
      <w:r w:rsidRPr="00021CB0">
        <w:t>he A</w:t>
      </w:r>
      <w:r w:rsidR="00FD0444" w:rsidRPr="00021CB0">
        <w:t xml:space="preserve">ustralian </w:t>
      </w:r>
      <w:r w:rsidRPr="00021CB0">
        <w:t>I</w:t>
      </w:r>
      <w:r w:rsidR="00FD0444" w:rsidRPr="00021CB0">
        <w:t xml:space="preserve">ndustry </w:t>
      </w:r>
      <w:r w:rsidRPr="00021CB0">
        <w:t>G</w:t>
      </w:r>
      <w:r w:rsidR="00FD0444" w:rsidRPr="00021CB0">
        <w:t>roup</w:t>
      </w:r>
      <w:r w:rsidRPr="00021CB0">
        <w:t xml:space="preserve"> note</w:t>
      </w:r>
      <w:r w:rsidR="00EA08E1" w:rsidRPr="00021CB0">
        <w:t>s</w:t>
      </w:r>
      <w:r w:rsidRPr="00021CB0">
        <w:t xml:space="preserve"> that Australia is entering a digital age and new skills will be required by all workforce participants (</w:t>
      </w:r>
      <w:r w:rsidR="00373C75" w:rsidRPr="00021CB0">
        <w:t>2016</w:t>
      </w:r>
      <w:r w:rsidRPr="00021CB0">
        <w:t xml:space="preserve">). In the </w:t>
      </w:r>
      <w:r w:rsidR="00EA08E1" w:rsidRPr="00021CB0">
        <w:t xml:space="preserve">Foundation Skills Workforce Survey </w:t>
      </w:r>
      <w:r w:rsidRPr="00021CB0">
        <w:t>in Australia</w:t>
      </w:r>
      <w:r w:rsidR="003F2434" w:rsidRPr="00021CB0">
        <w:t>,</w:t>
      </w:r>
      <w:r w:rsidRPr="00021CB0">
        <w:t xml:space="preserve"> many respondents were interested in developing both their own digital literacy skills and strategies for teaching learners how to use digital technologies (Circelli 2015). </w:t>
      </w:r>
      <w:r w:rsidR="007A6CE5" w:rsidRPr="00021CB0">
        <w:t>Professional development</w:t>
      </w:r>
      <w:r w:rsidRPr="00021CB0">
        <w:t xml:space="preserve"> related to digital literacy was reported as having been undertaken and considered useful by most respondents (Circelli 2015). </w:t>
      </w:r>
      <w:proofErr w:type="spellStart"/>
      <w:r w:rsidRPr="00021CB0">
        <w:t>Mellar</w:t>
      </w:r>
      <w:proofErr w:type="spellEnd"/>
      <w:r w:rsidRPr="00021CB0">
        <w:t xml:space="preserve"> et al. (2007) found, for learners, there was no correlation between changes in digital skills and changes in reading and listening. They suggest the areas of skills are learnt independently. Similarly, </w:t>
      </w:r>
      <w:proofErr w:type="spellStart"/>
      <w:r w:rsidRPr="00021CB0">
        <w:t>Windisch</w:t>
      </w:r>
      <w:proofErr w:type="spellEnd"/>
      <w:r w:rsidRPr="00021CB0">
        <w:t xml:space="preserve"> (2015) reviewed international literature and found that there is not a large body of evidence to show that technology is an effective tool for learning literacy and numeracy but there is some evidence that when used in conjunction with a teacher (</w:t>
      </w:r>
      <w:r w:rsidR="00AE3947" w:rsidRPr="00021CB0">
        <w:t>for example,</w:t>
      </w:r>
      <w:r w:rsidRPr="00021CB0">
        <w:t xml:space="preserve"> as a classroom tool) it is useful. However, research does support technology as a useful method for engaging and motivating some learners (</w:t>
      </w:r>
      <w:proofErr w:type="spellStart"/>
      <w:r w:rsidRPr="00021CB0">
        <w:t>Windisch</w:t>
      </w:r>
      <w:proofErr w:type="spellEnd"/>
      <w:r w:rsidRPr="00021CB0">
        <w:t xml:space="preserve"> 2015; </w:t>
      </w:r>
      <w:proofErr w:type="spellStart"/>
      <w:r w:rsidRPr="00021CB0">
        <w:t>Mellar</w:t>
      </w:r>
      <w:proofErr w:type="spellEnd"/>
      <w:r w:rsidRPr="00021CB0">
        <w:t xml:space="preserve"> et al. 2007).</w:t>
      </w:r>
      <w:r w:rsidR="00735EA9">
        <w:t xml:space="preserve"> </w:t>
      </w:r>
      <w:r w:rsidRPr="00021CB0">
        <w:t>The focus on digital literacy as part of the Australian foundation skills area (</w:t>
      </w:r>
      <w:proofErr w:type="spellStart"/>
      <w:r w:rsidRPr="00021CB0">
        <w:t>Wignall</w:t>
      </w:r>
      <w:proofErr w:type="spellEnd"/>
      <w:r w:rsidRPr="00021CB0">
        <w:t xml:space="preserve"> 2015) will require ongoing </w:t>
      </w:r>
      <w:r w:rsidR="007A6CE5" w:rsidRPr="00021CB0">
        <w:t>professional development</w:t>
      </w:r>
      <w:r w:rsidRPr="00021CB0">
        <w:t xml:space="preserve"> for practitioners to maintain currency in their understanding of emerging technologies.</w:t>
      </w:r>
    </w:p>
    <w:p w:rsidR="00562BED" w:rsidRPr="00021CB0" w:rsidRDefault="00562BED" w:rsidP="00021CB0">
      <w:pPr>
        <w:pStyle w:val="Text"/>
      </w:pPr>
      <w:r w:rsidRPr="00021CB0">
        <w:t xml:space="preserve">Compliance systems are integral to much </w:t>
      </w:r>
      <w:r w:rsidR="007A6CE5" w:rsidRPr="00021CB0">
        <w:t>literacy and numeracy</w:t>
      </w:r>
      <w:r w:rsidRPr="00021CB0">
        <w:t xml:space="preserve"> delivery in Australia</w:t>
      </w:r>
      <w:r w:rsidR="00AE3947" w:rsidRPr="00021CB0">
        <w:t>,</w:t>
      </w:r>
      <w:r w:rsidRPr="00021CB0">
        <w:t xml:space="preserve"> yet research into </w:t>
      </w:r>
      <w:r w:rsidR="007A6CE5" w:rsidRPr="00021CB0">
        <w:t>professional development</w:t>
      </w:r>
      <w:r w:rsidRPr="00021CB0">
        <w:t xml:space="preserve"> needs in this area or the effectiveness of compliance training is scarce. In Tasmania, </w:t>
      </w:r>
      <w:proofErr w:type="spellStart"/>
      <w:r w:rsidRPr="00021CB0">
        <w:t>Escalier</w:t>
      </w:r>
      <w:proofErr w:type="spellEnd"/>
      <w:r w:rsidRPr="00021CB0">
        <w:t xml:space="preserve"> McLean Consulting (2013) examined </w:t>
      </w:r>
      <w:r w:rsidR="007A6CE5" w:rsidRPr="00021CB0">
        <w:t>language, literacy and numeracy</w:t>
      </w:r>
      <w:r w:rsidRPr="00021CB0">
        <w:t xml:space="preserve"> teachers working in the nationally funded </w:t>
      </w:r>
      <w:r w:rsidR="00AE3947" w:rsidRPr="00021CB0">
        <w:t>Skills for Education and Employment</w:t>
      </w:r>
      <w:r w:rsidRPr="00021CB0">
        <w:t xml:space="preserve"> program</w:t>
      </w:r>
      <w:r w:rsidR="003F2434" w:rsidRPr="00021CB0">
        <w:t>,</w:t>
      </w:r>
      <w:r w:rsidRPr="00021CB0">
        <w:t xml:space="preserve"> who were required to measure learner achievement against the A</w:t>
      </w:r>
      <w:r w:rsidR="00AE3947" w:rsidRPr="00021CB0">
        <w:t xml:space="preserve">ustralian Core Skills </w:t>
      </w:r>
      <w:r w:rsidRPr="00021CB0">
        <w:t>F</w:t>
      </w:r>
      <w:r w:rsidR="00AE3947" w:rsidRPr="00021CB0">
        <w:t>ramework</w:t>
      </w:r>
      <w:r w:rsidRPr="00021CB0">
        <w:t xml:space="preserve">. The research found that </w:t>
      </w:r>
      <w:r w:rsidR="007A6CE5" w:rsidRPr="00021CB0">
        <w:t>professional development</w:t>
      </w:r>
      <w:r w:rsidRPr="00021CB0">
        <w:t xml:space="preserve"> </w:t>
      </w:r>
      <w:r w:rsidR="00805F81" w:rsidRPr="00021CB0">
        <w:t xml:space="preserve">may be needed by some teachers to help them </w:t>
      </w:r>
      <w:r w:rsidRPr="00021CB0">
        <w:t xml:space="preserve">use the </w:t>
      </w:r>
      <w:r w:rsidR="00AE3947" w:rsidRPr="00021CB0">
        <w:t>framework</w:t>
      </w:r>
      <w:r w:rsidRPr="00021CB0">
        <w:t xml:space="preserve"> to report gains in confidence and personal growth, inform curriculum planning, monitor progress and contextualise training (</w:t>
      </w:r>
      <w:proofErr w:type="spellStart"/>
      <w:r w:rsidRPr="00021CB0">
        <w:t>Escalier</w:t>
      </w:r>
      <w:proofErr w:type="spellEnd"/>
      <w:r w:rsidRPr="00021CB0">
        <w:t xml:space="preserve"> McLean Consulting 2013). The Foundati</w:t>
      </w:r>
      <w:r w:rsidR="00AE3947" w:rsidRPr="00021CB0">
        <w:t>on Skills Training package</w:t>
      </w:r>
      <w:r w:rsidRPr="00021CB0">
        <w:t xml:space="preserve"> has been identified as another product that will require collaboration between vocational practitioners and foundation skills practitioners (Roberts 2013). In developing </w:t>
      </w:r>
      <w:r w:rsidR="00AE3947" w:rsidRPr="00021CB0">
        <w:t>this training package</w:t>
      </w:r>
      <w:r w:rsidRPr="00021CB0">
        <w:t xml:space="preserve">, Innovation </w:t>
      </w:r>
      <w:r w:rsidR="00AE3947" w:rsidRPr="00021CB0">
        <w:t>&amp;</w:t>
      </w:r>
      <w:r w:rsidRPr="00021CB0">
        <w:t xml:space="preserve"> Business Skills Australia emphasised the need for collaborative approaches to its implementation rather than specifying specific qualifications</w:t>
      </w:r>
      <w:r w:rsidR="003F2434" w:rsidRPr="00021CB0">
        <w:t xml:space="preserve"> for the person delivering the package</w:t>
      </w:r>
      <w:r w:rsidRPr="00021CB0">
        <w:t xml:space="preserve"> (Roberts 2013).</w:t>
      </w:r>
    </w:p>
    <w:p w:rsidR="00562BED" w:rsidRPr="00021CB0" w:rsidRDefault="00562BED" w:rsidP="00021CB0">
      <w:pPr>
        <w:pStyle w:val="Text"/>
      </w:pPr>
      <w:r w:rsidRPr="00021CB0">
        <w:lastRenderedPageBreak/>
        <w:t>Increasingly</w:t>
      </w:r>
      <w:r w:rsidR="00AE3947" w:rsidRPr="00021CB0">
        <w:t>,</w:t>
      </w:r>
      <w:r w:rsidRPr="00021CB0">
        <w:t xml:space="preserve"> </w:t>
      </w:r>
      <w:r w:rsidR="007A6CE5" w:rsidRPr="00021CB0">
        <w:t>literacy and numeracy</w:t>
      </w:r>
      <w:r w:rsidRPr="00021CB0">
        <w:t xml:space="preserve"> practitioners are required to work in new settings</w:t>
      </w:r>
      <w:r w:rsidR="00AE3947" w:rsidRPr="00021CB0">
        <w:t>,</w:t>
      </w:r>
      <w:r w:rsidRPr="00021CB0">
        <w:t xml:space="preserve"> and </w:t>
      </w:r>
      <w:r w:rsidR="007A6CE5" w:rsidRPr="00021CB0">
        <w:t>professional development</w:t>
      </w:r>
      <w:r w:rsidRPr="00021CB0">
        <w:t xml:space="preserve"> to enable practitioners to adapt to new delivery contexts has been suggested as an area of need by some authors. Perkins (2009) noted that the literature pointed toward</w:t>
      </w:r>
      <w:r w:rsidR="003F2434" w:rsidRPr="00021CB0">
        <w:t>s</w:t>
      </w:r>
      <w:r w:rsidRPr="00021CB0">
        <w:t xml:space="preserve"> the need for practitioners to develop the ability to address the </w:t>
      </w:r>
      <w:r w:rsidR="00C37681" w:rsidRPr="00021CB0">
        <w:t>literacy and numeracy</w:t>
      </w:r>
      <w:r w:rsidRPr="00021CB0">
        <w:t xml:space="preserve"> skills of learners in a workplace setting. Diverse settings result in different relationships</w:t>
      </w:r>
      <w:r w:rsidR="00AE3947" w:rsidRPr="00021CB0">
        <w:t>,</w:t>
      </w:r>
      <w:r w:rsidRPr="00021CB0">
        <w:t xml:space="preserve"> such as working collaboratively with non-specialists; the skills to do so effectively are identified by several researchers as an area of </w:t>
      </w:r>
      <w:r w:rsidR="007A6CE5" w:rsidRPr="00021CB0">
        <w:t>professional development</w:t>
      </w:r>
      <w:r w:rsidRPr="00021CB0">
        <w:t xml:space="preserve"> need (</w:t>
      </w:r>
      <w:proofErr w:type="spellStart"/>
      <w:r w:rsidRPr="00021CB0">
        <w:t>Bak</w:t>
      </w:r>
      <w:proofErr w:type="spellEnd"/>
      <w:r w:rsidRPr="00021CB0">
        <w:t xml:space="preserve"> &amp; </w:t>
      </w:r>
      <w:proofErr w:type="spellStart"/>
      <w:r w:rsidRPr="00021CB0">
        <w:t>O’Maley</w:t>
      </w:r>
      <w:proofErr w:type="spellEnd"/>
      <w:r w:rsidRPr="00021CB0">
        <w:t xml:space="preserve"> 2015; Roberts &amp; </w:t>
      </w:r>
      <w:proofErr w:type="spellStart"/>
      <w:r w:rsidRPr="00021CB0">
        <w:t>Wignall</w:t>
      </w:r>
      <w:proofErr w:type="spellEnd"/>
      <w:r w:rsidRPr="00021CB0">
        <w:t xml:space="preserve"> 2010; </w:t>
      </w:r>
      <w:proofErr w:type="spellStart"/>
      <w:r w:rsidRPr="00021CB0">
        <w:t>Leske</w:t>
      </w:r>
      <w:proofErr w:type="spellEnd"/>
      <w:r w:rsidRPr="00021CB0">
        <w:t xml:space="preserve"> 2009; Barton 2008). </w:t>
      </w:r>
      <w:proofErr w:type="spellStart"/>
      <w:r w:rsidRPr="00021CB0">
        <w:t>Leske</w:t>
      </w:r>
      <w:proofErr w:type="spellEnd"/>
      <w:r w:rsidRPr="00021CB0">
        <w:t xml:space="preserve"> (2009) and Barton (2008) found </w:t>
      </w:r>
      <w:r w:rsidR="00AE3947" w:rsidRPr="00021CB0">
        <w:t xml:space="preserve">that </w:t>
      </w:r>
      <w:r w:rsidRPr="00021CB0">
        <w:t xml:space="preserve">teachers required training in how to work with community workers. </w:t>
      </w:r>
      <w:proofErr w:type="spellStart"/>
      <w:r w:rsidRPr="00021CB0">
        <w:t>Leske</w:t>
      </w:r>
      <w:proofErr w:type="spellEnd"/>
      <w:r w:rsidRPr="00021CB0">
        <w:t xml:space="preserve"> (2009) examined the partnership between Australian </w:t>
      </w:r>
      <w:r w:rsidR="001F274D" w:rsidRPr="00021CB0">
        <w:t>literacy and numeracy</w:t>
      </w:r>
      <w:r w:rsidRPr="00021CB0">
        <w:t xml:space="preserve"> teachers working with community service workers in a team-teaching environment. She concluded that one of the barriers to an effective partnership was communication, particularly a lack of a shared definition of literacy and uncertainty about the role of a literacy teacher. </w:t>
      </w:r>
      <w:r w:rsidR="007A6CE5" w:rsidRPr="00021CB0">
        <w:t>Professional development</w:t>
      </w:r>
      <w:r w:rsidRPr="00021CB0">
        <w:t xml:space="preserve"> that develops skills in learning to work in partnerships to ‘amalgamate ...</w:t>
      </w:r>
      <w:r w:rsidR="00AE3947" w:rsidRPr="00021CB0">
        <w:t xml:space="preserve"> </w:t>
      </w:r>
      <w:r w:rsidRPr="00021CB0">
        <w:t>work practices as well as understand how to go about achieving literacy and social capital outcomes’ was recommended (</w:t>
      </w:r>
      <w:proofErr w:type="spellStart"/>
      <w:r w:rsidRPr="00021CB0">
        <w:t>Leske</w:t>
      </w:r>
      <w:proofErr w:type="spellEnd"/>
      <w:r w:rsidRPr="00021CB0">
        <w:t xml:space="preserve"> 2009, p.32). </w:t>
      </w:r>
    </w:p>
    <w:p w:rsidR="00562BED" w:rsidRDefault="00562BED" w:rsidP="00021CB0">
      <w:pPr>
        <w:pStyle w:val="Text"/>
      </w:pPr>
      <w:r w:rsidRPr="00021CB0">
        <w:t xml:space="preserve">Another example is from </w:t>
      </w:r>
      <w:proofErr w:type="spellStart"/>
      <w:r w:rsidRPr="00021CB0">
        <w:t>Bak</w:t>
      </w:r>
      <w:proofErr w:type="spellEnd"/>
      <w:r w:rsidRPr="00021CB0">
        <w:t xml:space="preserve"> and </w:t>
      </w:r>
      <w:proofErr w:type="spellStart"/>
      <w:r w:rsidRPr="00021CB0">
        <w:t>O’Maley</w:t>
      </w:r>
      <w:proofErr w:type="spellEnd"/>
      <w:r w:rsidRPr="00021CB0">
        <w:t xml:space="preserve"> (2015)</w:t>
      </w:r>
      <w:r w:rsidR="00AE3947" w:rsidRPr="00021CB0">
        <w:t>,</w:t>
      </w:r>
      <w:r w:rsidRPr="00021CB0">
        <w:t xml:space="preserve"> who interviewed VET practitioners about their engagement with </w:t>
      </w:r>
      <w:r w:rsidR="00C37681" w:rsidRPr="00021CB0">
        <w:t>literacy and numeracy</w:t>
      </w:r>
      <w:r w:rsidRPr="00021CB0">
        <w:t xml:space="preserve">. </w:t>
      </w:r>
      <w:r w:rsidR="003F2434" w:rsidRPr="00021CB0">
        <w:t>In</w:t>
      </w:r>
      <w:r w:rsidRPr="00021CB0">
        <w:t xml:space="preserve"> the Australian VET environment</w:t>
      </w:r>
      <w:r w:rsidR="00AE3947" w:rsidRPr="00021CB0">
        <w:t>,</w:t>
      </w:r>
      <w:r w:rsidRPr="00021CB0">
        <w:t xml:space="preserve"> vocational teachers have been increasingly called upon to take responsibility for addressing the </w:t>
      </w:r>
      <w:r w:rsidR="00C37681" w:rsidRPr="00021CB0">
        <w:t>literacy and numeracy</w:t>
      </w:r>
      <w:r w:rsidRPr="00021CB0">
        <w:t xml:space="preserve"> needs of th</w:t>
      </w:r>
      <w:r w:rsidR="00B362BE" w:rsidRPr="00021CB0">
        <w:t>eir vocational students (</w:t>
      </w:r>
      <w:proofErr w:type="spellStart"/>
      <w:r w:rsidR="00B362BE" w:rsidRPr="00021CB0">
        <w:t>Bak</w:t>
      </w:r>
      <w:proofErr w:type="spellEnd"/>
      <w:r w:rsidR="00B362BE" w:rsidRPr="00021CB0">
        <w:t xml:space="preserve"> &amp;</w:t>
      </w:r>
      <w:r w:rsidRPr="00021CB0">
        <w:t xml:space="preserve"> </w:t>
      </w:r>
      <w:proofErr w:type="spellStart"/>
      <w:r w:rsidRPr="00021CB0">
        <w:t>O’Maley</w:t>
      </w:r>
      <w:proofErr w:type="spellEnd"/>
      <w:r w:rsidRPr="00021CB0">
        <w:t xml:space="preserve"> 2015). They explored ‘the shifting and emergent “professional” understandings of</w:t>
      </w:r>
      <w:r w:rsidR="00B362BE" w:rsidRPr="00021CB0">
        <w:t xml:space="preserve"> language and literacy’ </w:t>
      </w:r>
      <w:r w:rsidRPr="00021CB0">
        <w:t>of eight vocational teachers</w:t>
      </w:r>
      <w:r w:rsidR="00B362BE" w:rsidRPr="00021CB0">
        <w:t xml:space="preserve"> (p.52)</w:t>
      </w:r>
      <w:r w:rsidRPr="00021CB0">
        <w:t xml:space="preserve">. The study is limited in size, although the authors surmise from the findings that new ways of thinking about </w:t>
      </w:r>
      <w:r w:rsidR="00B362BE" w:rsidRPr="00021CB0">
        <w:t>literacy and numeracy</w:t>
      </w:r>
      <w:r w:rsidRPr="00021CB0">
        <w:t xml:space="preserve"> teaching are required, both for vocational teachers and </w:t>
      </w:r>
      <w:r w:rsidR="001F274D" w:rsidRPr="00021CB0">
        <w:t>literacy and numeracy</w:t>
      </w:r>
      <w:r w:rsidRPr="00021CB0">
        <w:t xml:space="preserve"> specialists. The focus of the research is not on </w:t>
      </w:r>
      <w:r w:rsidR="001F274D" w:rsidRPr="00021CB0">
        <w:t>literacy and numeracy</w:t>
      </w:r>
      <w:r w:rsidRPr="00021CB0">
        <w:t xml:space="preserve"> specialists, but it does raise questions about </w:t>
      </w:r>
      <w:r w:rsidR="00AE3947" w:rsidRPr="00021CB0">
        <w:t xml:space="preserve">the </w:t>
      </w:r>
      <w:r w:rsidRPr="00021CB0">
        <w:t xml:space="preserve">roles and responsibilities in the </w:t>
      </w:r>
      <w:r w:rsidR="001F274D" w:rsidRPr="00021CB0">
        <w:t>literacy and numeracy</w:t>
      </w:r>
      <w:r w:rsidRPr="00021CB0">
        <w:t xml:space="preserve"> field. The researchers suggest </w:t>
      </w:r>
      <w:r w:rsidR="00AE3947" w:rsidRPr="00021CB0">
        <w:t xml:space="preserve">that </w:t>
      </w:r>
      <w:r w:rsidRPr="00021CB0">
        <w:t xml:space="preserve">VET teachers are not confident and willing to address </w:t>
      </w:r>
      <w:r w:rsidR="001F274D" w:rsidRPr="00021CB0">
        <w:t>language, literacy and numeracy</w:t>
      </w:r>
      <w:r w:rsidRPr="00021CB0">
        <w:t xml:space="preserve"> issues, and do not clearly understand key concepts</w:t>
      </w:r>
      <w:r w:rsidR="00AE3947" w:rsidRPr="00021CB0">
        <w:t>,</w:t>
      </w:r>
      <w:r w:rsidRPr="00021CB0">
        <w:t xml:space="preserve"> such as embedding (integrating </w:t>
      </w:r>
      <w:r w:rsidR="001F274D" w:rsidRPr="00021CB0">
        <w:t>language, literacy and numeracy</w:t>
      </w:r>
      <w:r w:rsidRPr="00021CB0">
        <w:t xml:space="preserve"> into the vocational content). They recommend </w:t>
      </w:r>
      <w:r w:rsidR="0065513D" w:rsidRPr="00021CB0">
        <w:t xml:space="preserve">that </w:t>
      </w:r>
      <w:r w:rsidRPr="00021CB0">
        <w:t xml:space="preserve">collaboration between the </w:t>
      </w:r>
      <w:r w:rsidR="001F274D" w:rsidRPr="00021CB0">
        <w:t>literacy and numeracy</w:t>
      </w:r>
      <w:r w:rsidRPr="00021CB0">
        <w:t xml:space="preserve"> specialist and vocational teacher occurs. This recommendation points to a need for </w:t>
      </w:r>
      <w:r w:rsidR="007A6CE5" w:rsidRPr="00021CB0">
        <w:t>professional development</w:t>
      </w:r>
      <w:r w:rsidRPr="00021CB0">
        <w:t xml:space="preserve"> in ways to work effectively with vocational practitioners.</w:t>
      </w:r>
      <w:r>
        <w:t xml:space="preserve"> </w:t>
      </w:r>
    </w:p>
    <w:p w:rsidR="00562BED" w:rsidRPr="0082218D" w:rsidRDefault="00562BED" w:rsidP="00562BED">
      <w:pPr>
        <w:pStyle w:val="Heading2"/>
        <w:rPr>
          <w:noProof/>
          <w:lang w:eastAsia="en-AU"/>
        </w:rPr>
      </w:pPr>
      <w:bookmarkStart w:id="44" w:name="_Toc468885411"/>
      <w:r w:rsidRPr="0082218D">
        <w:rPr>
          <w:noProof/>
          <w:lang w:eastAsia="en-AU"/>
        </w:rPr>
        <w:t xml:space="preserve">Effective </w:t>
      </w:r>
      <w:r>
        <w:rPr>
          <w:noProof/>
          <w:lang w:eastAsia="en-AU"/>
        </w:rPr>
        <w:t>professional development</w:t>
      </w:r>
      <w:r w:rsidRPr="0082218D">
        <w:rPr>
          <w:noProof/>
          <w:lang w:eastAsia="en-AU"/>
        </w:rPr>
        <w:t xml:space="preserve"> activities</w:t>
      </w:r>
      <w:bookmarkEnd w:id="44"/>
    </w:p>
    <w:p w:rsidR="00562BED" w:rsidRPr="0082218D" w:rsidRDefault="00562BED" w:rsidP="00562BED">
      <w:pPr>
        <w:pStyle w:val="Text"/>
      </w:pPr>
      <w:r w:rsidRPr="0082218D">
        <w:t xml:space="preserve">Researchers have identified a number of methods for delivering </w:t>
      </w:r>
      <w:r w:rsidR="007A6CE5">
        <w:t>professional development</w:t>
      </w:r>
      <w:r w:rsidRPr="0082218D">
        <w:t xml:space="preserve"> </w:t>
      </w:r>
      <w:r w:rsidR="003F2434">
        <w:t>with</w:t>
      </w:r>
      <w:r w:rsidRPr="0082218D">
        <w:t xml:space="preserve"> successful outcomes for </w:t>
      </w:r>
      <w:r w:rsidR="00B362BE">
        <w:t>literacy and numeracy</w:t>
      </w:r>
      <w:r w:rsidRPr="0082218D">
        <w:t xml:space="preserve"> practitioners. The most effective </w:t>
      </w:r>
      <w:r w:rsidR="007A6CE5">
        <w:t>professional development</w:t>
      </w:r>
      <w:r w:rsidRPr="0082218D">
        <w:t xml:space="preserve"> for </w:t>
      </w:r>
      <w:r w:rsidR="00B362BE">
        <w:t>literacy and numeracy</w:t>
      </w:r>
      <w:r w:rsidRPr="0082218D">
        <w:t xml:space="preserve"> practitioners involves engaging them in activity, particularly in research. Teachers draw on research they </w:t>
      </w:r>
      <w:r w:rsidR="0065513D">
        <w:t>relate to,</w:t>
      </w:r>
      <w:r w:rsidRPr="0082218D">
        <w:t xml:space="preserve"> research that reflects their </w:t>
      </w:r>
      <w:r w:rsidR="003F2434">
        <w:t>own experiences (Barton 2008):</w:t>
      </w:r>
      <w:r w:rsidRPr="0082218D">
        <w:t xml:space="preserve"> using practitioner-researchers is </w:t>
      </w:r>
      <w:r w:rsidR="003F2434">
        <w:t xml:space="preserve">therefore </w:t>
      </w:r>
      <w:r w:rsidRPr="0082218D">
        <w:t xml:space="preserve">an effective means of encouraging teachers to use evidence-based practice and, importantly, to disseminate their findings to colleagues (Duckworth &amp; Hamilton 2016; Brooks et al. 2013; Barton 2008; OECD 2008; Smith, </w:t>
      </w:r>
      <w:proofErr w:type="spellStart"/>
      <w:r w:rsidRPr="0082218D">
        <w:t>Bing</w:t>
      </w:r>
      <w:r w:rsidR="0065513D">
        <w:t>man</w:t>
      </w:r>
      <w:proofErr w:type="spellEnd"/>
      <w:r w:rsidR="0065513D">
        <w:t xml:space="preserve"> &amp; Beall 2007). Practitioner </w:t>
      </w:r>
      <w:r w:rsidRPr="0082218D">
        <w:t xml:space="preserve">research requires funding for appropriate supervision and skill development, which can be a limitation. Black </w:t>
      </w:r>
      <w:r w:rsidR="003F2434">
        <w:t>and</w:t>
      </w:r>
      <w:r w:rsidRPr="0082218D">
        <w:t xml:space="preserve"> Yasukawa (2010) report that in Australia targeted funding available to implement </w:t>
      </w:r>
      <w:r w:rsidR="00B362BE">
        <w:t>literacy and numeracy</w:t>
      </w:r>
      <w:r w:rsidRPr="0082218D">
        <w:t xml:space="preserve"> practitioner-research programs has declined.</w:t>
      </w:r>
    </w:p>
    <w:p w:rsidR="00562BED" w:rsidRPr="0082218D" w:rsidRDefault="00562BED" w:rsidP="00562BED">
      <w:pPr>
        <w:pStyle w:val="Text"/>
      </w:pPr>
      <w:r w:rsidRPr="0082218D">
        <w:lastRenderedPageBreak/>
        <w:t xml:space="preserve">In addition </w:t>
      </w:r>
      <w:r w:rsidR="0065513D">
        <w:t xml:space="preserve">to practitioner </w:t>
      </w:r>
      <w:r w:rsidRPr="0082218D">
        <w:t>research, collaborative learning strategies have been used successfully. For example, providing opportunities to observe other practitioners, to interact with their peers in study circles and research groups and to use teacher portfolios (</w:t>
      </w:r>
      <w:r w:rsidRPr="0082218D">
        <w:rPr>
          <w:rFonts w:eastAsiaTheme="majorEastAsia"/>
        </w:rPr>
        <w:t xml:space="preserve">Swain &amp; Swan </w:t>
      </w:r>
      <w:r w:rsidRPr="0082218D">
        <w:t xml:space="preserve">2009; Barton 2008; OECD 2008; Brooks et al. 2007; Smith, </w:t>
      </w:r>
      <w:proofErr w:type="spellStart"/>
      <w:r w:rsidRPr="0082218D">
        <w:t>Bingman</w:t>
      </w:r>
      <w:proofErr w:type="spellEnd"/>
      <w:r w:rsidRPr="0082218D">
        <w:t xml:space="preserve"> &amp; Beall 2007: Morton, McGuire &amp; </w:t>
      </w:r>
      <w:proofErr w:type="spellStart"/>
      <w:r w:rsidRPr="0082218D">
        <w:t>Baynham</w:t>
      </w:r>
      <w:proofErr w:type="spellEnd"/>
      <w:r w:rsidRPr="0082218D">
        <w:t xml:space="preserve"> 2006; Comings &amp; </w:t>
      </w:r>
      <w:proofErr w:type="spellStart"/>
      <w:r w:rsidRPr="0082218D">
        <w:t>Soricone</w:t>
      </w:r>
      <w:proofErr w:type="spellEnd"/>
      <w:r w:rsidRPr="0082218D">
        <w:t xml:space="preserve"> 2005). Other </w:t>
      </w:r>
      <w:r w:rsidR="00B362BE">
        <w:t>professional development</w:t>
      </w:r>
      <w:r w:rsidRPr="0082218D">
        <w:t xml:space="preserve"> methods that allow interaction between practitioners such as seminars, conferences and case studies, when adapted to the context in which the participants work, are also valuable (Smith, </w:t>
      </w:r>
      <w:proofErr w:type="spellStart"/>
      <w:r w:rsidRPr="0082218D">
        <w:t>Bingman</w:t>
      </w:r>
      <w:proofErr w:type="spellEnd"/>
      <w:r w:rsidRPr="0082218D">
        <w:t xml:space="preserve"> &amp; Beall 2007; Morton, McGuire &amp; </w:t>
      </w:r>
      <w:proofErr w:type="spellStart"/>
      <w:r w:rsidRPr="0082218D">
        <w:t>Baynham</w:t>
      </w:r>
      <w:proofErr w:type="spellEnd"/>
      <w:r w:rsidRPr="0082218D">
        <w:t xml:space="preserve"> 2006).</w:t>
      </w:r>
    </w:p>
    <w:p w:rsidR="00562BED" w:rsidRPr="0082218D" w:rsidRDefault="00562BED" w:rsidP="00562BED">
      <w:pPr>
        <w:pStyle w:val="Text"/>
      </w:pPr>
      <w:r w:rsidRPr="0082218D">
        <w:t xml:space="preserve">Adapting </w:t>
      </w:r>
      <w:r w:rsidR="00C37681">
        <w:t>professional development</w:t>
      </w:r>
      <w:r w:rsidRPr="0082218D">
        <w:t xml:space="preserve"> to the context in which the teacher is situated is important because of the varied settings in which practitioners work (Smith, </w:t>
      </w:r>
      <w:proofErr w:type="spellStart"/>
      <w:r w:rsidRPr="0082218D">
        <w:t>Bingman</w:t>
      </w:r>
      <w:proofErr w:type="spellEnd"/>
      <w:r w:rsidRPr="0082218D">
        <w:t xml:space="preserve"> &amp; Beall 2007; Morton, McGuire &amp; </w:t>
      </w:r>
      <w:proofErr w:type="spellStart"/>
      <w:r w:rsidRPr="0082218D">
        <w:t>Baynham</w:t>
      </w:r>
      <w:proofErr w:type="spellEnd"/>
      <w:r w:rsidRPr="0082218D">
        <w:t xml:space="preserve"> 2006). For example, Wallace (2010) examined a teacher training program in Scotland for experienced but unqualified literacy tutors and found that a collaborative group-learning approach, rather than input by experts (for example</w:t>
      </w:r>
      <w:r w:rsidR="0065513D">
        <w:t>,</w:t>
      </w:r>
      <w:r w:rsidRPr="0082218D">
        <w:t xml:space="preserve"> in the form of lectures), was more suitable for the workforce because </w:t>
      </w:r>
      <w:r w:rsidR="003F2434">
        <w:t>the participants</w:t>
      </w:r>
      <w:r w:rsidRPr="0082218D">
        <w:t xml:space="preserve"> were able to individualise, and therefore relate to, the content. Successful </w:t>
      </w:r>
      <w:r w:rsidR="00C37681">
        <w:t>professional development</w:t>
      </w:r>
      <w:r w:rsidRPr="0082218D">
        <w:t xml:space="preserve"> focused on extending the reflective skills and critical awareness of the teachers (Wallace 2010). </w:t>
      </w:r>
    </w:p>
    <w:p w:rsidR="00562BED" w:rsidRPr="0082218D" w:rsidRDefault="00562BED" w:rsidP="00021CB0">
      <w:pPr>
        <w:pStyle w:val="Text"/>
      </w:pPr>
      <w:r w:rsidRPr="0082218D">
        <w:t xml:space="preserve">Another successful method </w:t>
      </w:r>
      <w:r w:rsidR="003F2434">
        <w:t>for</w:t>
      </w:r>
      <w:r w:rsidRPr="0082218D">
        <w:t xml:space="preserve"> delivering </w:t>
      </w:r>
      <w:r w:rsidR="00C37681">
        <w:t>professional development</w:t>
      </w:r>
      <w:r w:rsidRPr="0082218D">
        <w:t xml:space="preserve"> is that of using practical activities where teachers are ‘taught as they are expected to teach’ (Morton, McGuire &amp; </w:t>
      </w:r>
      <w:proofErr w:type="spellStart"/>
      <w:r w:rsidRPr="0082218D">
        <w:t>Baynham</w:t>
      </w:r>
      <w:proofErr w:type="spellEnd"/>
      <w:r w:rsidRPr="0082218D">
        <w:t xml:space="preserve"> 2006, p.5).</w:t>
      </w:r>
      <w:r w:rsidR="004A65CA">
        <w:t xml:space="preserve"> </w:t>
      </w:r>
      <w:r w:rsidRPr="0082218D">
        <w:t>For example, Swain and Swan (2009) found ‘an iterative’ model used for numeracy teachers resulted in success because it provided teachers with the opportunity to engage in a cycle of learning that involved reflecting, trialling, reviewing and reflecting again before finally refining ‘concepts, ideas and tasks’ (Swain &amp; Swan 2009, p.89). To develop practitioners’ skills in teaching numeracy</w:t>
      </w:r>
      <w:r w:rsidR="0065513D">
        <w:t>,</w:t>
      </w:r>
      <w:r w:rsidRPr="0082218D">
        <w:t xml:space="preserve"> it has been suggested that it is essential to develop practitioners’ own skills in numeracy and maths as a starting point (Nonesuch 2006).</w:t>
      </w:r>
      <w:r w:rsidR="004A65CA">
        <w:t xml:space="preserve"> </w:t>
      </w:r>
      <w:r w:rsidRPr="0082218D">
        <w:t>For successful student outcomes in numeracy, Swain and Swan (2009) determined t</w:t>
      </w:r>
      <w:r w:rsidR="003F2434">
        <w:t>hat t</w:t>
      </w:r>
      <w:r w:rsidRPr="0082218D">
        <w:t>eacher training must include theoretical understandings of task design, management of tasks in the teaching space, formative assessment, questioning techniques and</w:t>
      </w:r>
      <w:r w:rsidR="004A65CA">
        <w:t xml:space="preserve"> </w:t>
      </w:r>
      <w:r w:rsidRPr="0082218D">
        <w:t xml:space="preserve">how to teach </w:t>
      </w:r>
      <w:r w:rsidR="003F2434">
        <w:t xml:space="preserve">the </w:t>
      </w:r>
      <w:r w:rsidRPr="0082218D">
        <w:t>learning strategies a</w:t>
      </w:r>
      <w:r w:rsidR="003F2434">
        <w:t xml:space="preserve">ssociated with </w:t>
      </w:r>
      <w:r w:rsidRPr="0082218D">
        <w:t xml:space="preserve">collaborative learning and working in groups. </w:t>
      </w:r>
      <w:proofErr w:type="spellStart"/>
      <w:r w:rsidRPr="0082218D">
        <w:t>Saliga</w:t>
      </w:r>
      <w:proofErr w:type="spellEnd"/>
      <w:r w:rsidRPr="0082218D">
        <w:t xml:space="preserve"> et al. (2015) researched the outcomes of a series of numeracy workshops for adult numeracy teachers and found that </w:t>
      </w:r>
      <w:r w:rsidR="00C37681">
        <w:t>professional development</w:t>
      </w:r>
      <w:r w:rsidRPr="0082218D">
        <w:t xml:space="preserve"> was </w:t>
      </w:r>
      <w:r w:rsidR="0065513D">
        <w:t>affected</w:t>
      </w:r>
      <w:r w:rsidRPr="0082218D">
        <w:t xml:space="preserve"> by </w:t>
      </w:r>
      <w:r w:rsidR="0065513D">
        <w:t>a</w:t>
      </w:r>
      <w:r w:rsidRPr="0082218D">
        <w:t xml:space="preserve"> lack of prior mathematical knowledge and the employment status of participants. They surmised that where employment status is not permanent or guaranteed</w:t>
      </w:r>
      <w:r w:rsidR="003F2434">
        <w:t>,</w:t>
      </w:r>
      <w:r w:rsidRPr="0082218D">
        <w:t xml:space="preserve"> practitioners may not place priority on improving personal and professional skills. Overall, the research suggested</w:t>
      </w:r>
      <w:r w:rsidR="0065513D">
        <w:t xml:space="preserve"> that</w:t>
      </w:r>
      <w:r w:rsidRPr="0082218D">
        <w:t xml:space="preserve"> reducing anxiety about maths and increasing the teachers’ confidence were essential components in numeracy </w:t>
      </w:r>
      <w:r w:rsidR="00C37681">
        <w:t>professional development</w:t>
      </w:r>
      <w:r w:rsidRPr="0082218D">
        <w:t xml:space="preserve">, and were initially more significant than increasing content knowledge and teaching strategies. </w:t>
      </w:r>
    </w:p>
    <w:p w:rsidR="00562BED" w:rsidRPr="0082218D" w:rsidRDefault="00562BED" w:rsidP="00562BED">
      <w:pPr>
        <w:pStyle w:val="Text"/>
      </w:pPr>
      <w:r w:rsidRPr="0082218D">
        <w:t>Mentoring new teachers in the workforce allows experienced practitioners to work with new staff</w:t>
      </w:r>
      <w:r w:rsidR="0065513D">
        <w:t>,</w:t>
      </w:r>
      <w:r w:rsidRPr="0082218D">
        <w:t xml:space="preserve"> which is useful for providing opportunities for collaboration and knowledge sharing (</w:t>
      </w:r>
      <w:proofErr w:type="spellStart"/>
      <w:r w:rsidRPr="0082218D">
        <w:t>Garbett</w:t>
      </w:r>
      <w:proofErr w:type="spellEnd"/>
      <w:r w:rsidRPr="0082218D">
        <w:t xml:space="preserve">, </w:t>
      </w:r>
      <w:proofErr w:type="spellStart"/>
      <w:r w:rsidRPr="0082218D">
        <w:t>Orrock</w:t>
      </w:r>
      <w:proofErr w:type="spellEnd"/>
      <w:r w:rsidRPr="0082218D">
        <w:t xml:space="preserve"> &amp; Smith 2013; OECD 2008; Morton, McGuire &amp; </w:t>
      </w:r>
      <w:proofErr w:type="spellStart"/>
      <w:r w:rsidRPr="0082218D">
        <w:t>Baynham</w:t>
      </w:r>
      <w:proofErr w:type="spellEnd"/>
      <w:r w:rsidRPr="0082218D">
        <w:t xml:space="preserve"> 2006). Issues that detract from this form of </w:t>
      </w:r>
      <w:r w:rsidR="00C37681">
        <w:t>professional development</w:t>
      </w:r>
      <w:r w:rsidRPr="0082218D">
        <w:t xml:space="preserve"> are bureaucratic rather than pedagogical and</w:t>
      </w:r>
      <w:r w:rsidR="003F2434">
        <w:t xml:space="preserve"> include funding shortfalls, which</w:t>
      </w:r>
      <w:r w:rsidRPr="0082218D">
        <w:t xml:space="preserve"> do not allow mentors time to carry out their roles effectively, for instance</w:t>
      </w:r>
      <w:r w:rsidR="0065513D">
        <w:t>,</w:t>
      </w:r>
      <w:r w:rsidRPr="0082218D">
        <w:t xml:space="preserve"> where institutions do not recognise time spent mentoring as part of a required program or do not provide sufficient support and funding (</w:t>
      </w:r>
      <w:proofErr w:type="spellStart"/>
      <w:r w:rsidRPr="0082218D">
        <w:t>Garbett</w:t>
      </w:r>
      <w:proofErr w:type="spellEnd"/>
      <w:r w:rsidRPr="0082218D">
        <w:t xml:space="preserve">, </w:t>
      </w:r>
      <w:proofErr w:type="spellStart"/>
      <w:r w:rsidRPr="0082218D">
        <w:t>Orrock</w:t>
      </w:r>
      <w:proofErr w:type="spellEnd"/>
      <w:r w:rsidRPr="0082218D">
        <w:t xml:space="preserve"> &amp; Smith 2013).</w:t>
      </w:r>
    </w:p>
    <w:p w:rsidR="00562BED" w:rsidRPr="00021CB0" w:rsidRDefault="00562BED" w:rsidP="00021CB0">
      <w:pPr>
        <w:pStyle w:val="Text"/>
      </w:pPr>
      <w:r w:rsidRPr="00021CB0">
        <w:lastRenderedPageBreak/>
        <w:t xml:space="preserve">Specific research into </w:t>
      </w:r>
      <w:r w:rsidR="00C37681" w:rsidRPr="00021CB0">
        <w:t>professional development</w:t>
      </w:r>
      <w:r w:rsidRPr="00021CB0">
        <w:t xml:space="preserve"> for teaching methodologies is limited in the current academic literature. Summaries in current work often draw on older research. However, one recent example, by Brooks et al. (2007), studied how to develop practitioners’ skills in teaching reading. The study found better reading outcomes for </w:t>
      </w:r>
      <w:r w:rsidR="00435015" w:rsidRPr="00021CB0">
        <w:t>learners</w:t>
      </w:r>
      <w:r w:rsidRPr="00021CB0">
        <w:t xml:space="preserve"> could be achieved if teachers</w:t>
      </w:r>
      <w:r w:rsidR="00435015" w:rsidRPr="00021CB0">
        <w:t xml:space="preserve"> </w:t>
      </w:r>
      <w:r w:rsidRPr="00021CB0">
        <w:t>were taught five specific strategies</w:t>
      </w:r>
      <w:r w:rsidR="003F2434" w:rsidRPr="00021CB0">
        <w:t xml:space="preserve"> before they began their teaching</w:t>
      </w:r>
      <w:r w:rsidRPr="00021CB0">
        <w:t>:</w:t>
      </w:r>
    </w:p>
    <w:p w:rsidR="00562BED" w:rsidRPr="00021CB0" w:rsidRDefault="00562BED" w:rsidP="00021CB0">
      <w:pPr>
        <w:pStyle w:val="Dotpoint1"/>
      </w:pPr>
      <w:r w:rsidRPr="00021CB0">
        <w:t>oral fluency</w:t>
      </w:r>
    </w:p>
    <w:p w:rsidR="00562BED" w:rsidRPr="00021CB0" w:rsidRDefault="00562BED" w:rsidP="00021CB0">
      <w:pPr>
        <w:pStyle w:val="Dotpoint1"/>
      </w:pPr>
      <w:r w:rsidRPr="00021CB0">
        <w:t>explicit comprehension strategies</w:t>
      </w:r>
    </w:p>
    <w:p w:rsidR="00562BED" w:rsidRPr="00021CB0" w:rsidRDefault="00562BED" w:rsidP="00021CB0">
      <w:pPr>
        <w:pStyle w:val="Dotpoint1"/>
      </w:pPr>
      <w:r w:rsidRPr="00021CB0">
        <w:t>reciprocal teaching</w:t>
      </w:r>
    </w:p>
    <w:p w:rsidR="00562BED" w:rsidRPr="00021CB0" w:rsidRDefault="00562BED" w:rsidP="00021CB0">
      <w:pPr>
        <w:pStyle w:val="Dotpoint1"/>
      </w:pPr>
      <w:r w:rsidRPr="00021CB0">
        <w:t>phonics</w:t>
      </w:r>
    </w:p>
    <w:p w:rsidR="00562BED" w:rsidRPr="00021CB0" w:rsidRDefault="00562BED" w:rsidP="00021CB0">
      <w:pPr>
        <w:pStyle w:val="Dotpoint1"/>
      </w:pPr>
      <w:proofErr w:type="gramStart"/>
      <w:r w:rsidRPr="00021CB0">
        <w:t>language</w:t>
      </w:r>
      <w:proofErr w:type="gramEnd"/>
      <w:r w:rsidRPr="00021CB0">
        <w:t xml:space="preserve"> experience approaches.</w:t>
      </w:r>
    </w:p>
    <w:p w:rsidR="00562BED" w:rsidRPr="00021CB0" w:rsidRDefault="00562BED" w:rsidP="00021CB0">
      <w:pPr>
        <w:pStyle w:val="Text"/>
      </w:pPr>
      <w:r w:rsidRPr="00021CB0">
        <w:t>Brooks et al. (2007)</w:t>
      </w:r>
      <w:r w:rsidR="003F2434" w:rsidRPr="00021CB0">
        <w:t xml:space="preserve"> </w:t>
      </w:r>
      <w:r w:rsidR="0065513D" w:rsidRPr="00021CB0">
        <w:t>claim</w:t>
      </w:r>
      <w:r w:rsidRPr="00021CB0">
        <w:t xml:space="preserve"> that teacher training is useful in the areas of assessing learner needs, adapting teaching strategies to suit individual needs, and managing different learning configurations (such as individual, pair and group work).</w:t>
      </w:r>
      <w:r w:rsidR="004A65CA" w:rsidRPr="00021CB0">
        <w:t xml:space="preserve"> </w:t>
      </w:r>
      <w:r w:rsidRPr="00021CB0">
        <w:t xml:space="preserve">Burton et al. (2008) had success delivering </w:t>
      </w:r>
      <w:r w:rsidR="00C37681" w:rsidRPr="00021CB0">
        <w:t>professional development</w:t>
      </w:r>
      <w:r w:rsidRPr="00021CB0">
        <w:t xml:space="preserve"> on using phonic strategies for adults by </w:t>
      </w:r>
      <w:r w:rsidR="003F2434" w:rsidRPr="00021CB0">
        <w:t>running a four-day workshop, which</w:t>
      </w:r>
      <w:r w:rsidRPr="00021CB0">
        <w:t xml:space="preserve"> started with theoretical underpinnings and progressed to practical understandings.</w:t>
      </w:r>
    </w:p>
    <w:p w:rsidR="00562BED" w:rsidRPr="00021CB0" w:rsidRDefault="00562BED" w:rsidP="00021CB0">
      <w:pPr>
        <w:pStyle w:val="Heading2"/>
      </w:pPr>
      <w:bookmarkStart w:id="45" w:name="_Toc468885412"/>
      <w:r w:rsidRPr="00021CB0">
        <w:t>Participant evaluation</w:t>
      </w:r>
      <w:bookmarkEnd w:id="45"/>
    </w:p>
    <w:p w:rsidR="00562BED" w:rsidRPr="00021CB0" w:rsidRDefault="00562BED" w:rsidP="00021CB0">
      <w:pPr>
        <w:pStyle w:val="Text"/>
      </w:pPr>
      <w:r w:rsidRPr="00021CB0">
        <w:t xml:space="preserve">Much research into </w:t>
      </w:r>
      <w:r w:rsidR="00C37681" w:rsidRPr="00021CB0">
        <w:t>professional development</w:t>
      </w:r>
      <w:r w:rsidRPr="00021CB0">
        <w:t xml:space="preserve"> for the </w:t>
      </w:r>
      <w:r w:rsidR="00B362BE" w:rsidRPr="00021CB0">
        <w:t>literacy and numeracy</w:t>
      </w:r>
      <w:r w:rsidRPr="00021CB0">
        <w:t xml:space="preserve"> workforce relies on participant evaluation. This type of research does not critically analyse changes to teaching practices and methodologies or changes to student outcomes. The literature generally suggests that practitioners value </w:t>
      </w:r>
      <w:r w:rsidR="00C37681" w:rsidRPr="00021CB0">
        <w:t>professional development</w:t>
      </w:r>
      <w:r w:rsidRPr="00021CB0">
        <w:t xml:space="preserve"> opportunities and, although often already highly qualified, </w:t>
      </w:r>
      <w:r w:rsidR="0065513D" w:rsidRPr="00021CB0">
        <w:t xml:space="preserve">they </w:t>
      </w:r>
      <w:r w:rsidRPr="00021CB0">
        <w:t xml:space="preserve">are receptive to ongoing development. Therefore, they engage regularly with </w:t>
      </w:r>
      <w:r w:rsidR="00C37681" w:rsidRPr="00021CB0">
        <w:t>professional development</w:t>
      </w:r>
      <w:r w:rsidRPr="00021CB0">
        <w:t xml:space="preserve"> opportunities to maintain currency (Circelli 2015; </w:t>
      </w:r>
      <w:proofErr w:type="spellStart"/>
      <w:r w:rsidRPr="00021CB0">
        <w:t>Wignall</w:t>
      </w:r>
      <w:proofErr w:type="spellEnd"/>
      <w:r w:rsidRPr="00021CB0">
        <w:t xml:space="preserve"> 2015; </w:t>
      </w:r>
      <w:proofErr w:type="spellStart"/>
      <w:r w:rsidRPr="00021CB0">
        <w:t>Benseman</w:t>
      </w:r>
      <w:proofErr w:type="spellEnd"/>
      <w:r w:rsidRPr="00021CB0">
        <w:t xml:space="preserve"> 2014; </w:t>
      </w:r>
      <w:proofErr w:type="spellStart"/>
      <w:r w:rsidRPr="00021CB0">
        <w:t>Leckie</w:t>
      </w:r>
      <w:proofErr w:type="spellEnd"/>
      <w:r w:rsidRPr="00021CB0">
        <w:t xml:space="preserve"> et al. 2014).</w:t>
      </w:r>
    </w:p>
    <w:p w:rsidR="00562BED" w:rsidRPr="00021CB0" w:rsidRDefault="00562BED" w:rsidP="00021CB0">
      <w:pPr>
        <w:pStyle w:val="Text"/>
      </w:pPr>
      <w:r w:rsidRPr="00021CB0">
        <w:t xml:space="preserve">In Australia the most common type of </w:t>
      </w:r>
      <w:r w:rsidR="00C37681" w:rsidRPr="00021CB0">
        <w:t>professional development</w:t>
      </w:r>
      <w:r w:rsidRPr="00021CB0">
        <w:t xml:space="preserve"> is in reporting and systems compliance (Circelli 2015; Black </w:t>
      </w:r>
      <w:r w:rsidR="00885196" w:rsidRPr="00021CB0">
        <w:t>&amp;</w:t>
      </w:r>
      <w:r w:rsidRPr="00021CB0">
        <w:t xml:space="preserve"> Yasukawa 2010)</w:t>
      </w:r>
      <w:r w:rsidR="0065513D" w:rsidRPr="00021CB0">
        <w:t>,</w:t>
      </w:r>
      <w:r w:rsidRPr="00021CB0">
        <w:t xml:space="preserve"> but in contrast the </w:t>
      </w:r>
      <w:r w:rsidR="00C37681" w:rsidRPr="00021CB0">
        <w:t>professional development</w:t>
      </w:r>
      <w:r w:rsidRPr="00021CB0">
        <w:t xml:space="preserve"> that is rated as being the most effective is related to teaching methodology (Circelli 2015; </w:t>
      </w:r>
      <w:proofErr w:type="spellStart"/>
      <w:r w:rsidRPr="00021CB0">
        <w:t>Wignall</w:t>
      </w:r>
      <w:proofErr w:type="spellEnd"/>
      <w:r w:rsidRPr="00021CB0">
        <w:t xml:space="preserve"> 2015). Specific content that is valued by the workforce includes new</w:t>
      </w:r>
      <w:r w:rsidR="0065513D" w:rsidRPr="00021CB0">
        <w:t xml:space="preserve"> resources and delivery methods;</w:t>
      </w:r>
      <w:r w:rsidRPr="00021CB0">
        <w:t xml:space="preserve"> integration into vocationa</w:t>
      </w:r>
      <w:r w:rsidR="0065513D" w:rsidRPr="00021CB0">
        <w:t>l contexts and into life skills; learner groups;</w:t>
      </w:r>
      <w:r w:rsidRPr="00021CB0">
        <w:t xml:space="preserve"> digital literacy, teaching theory</w:t>
      </w:r>
      <w:r w:rsidR="0065513D" w:rsidRPr="00021CB0">
        <w:t>;</w:t>
      </w:r>
      <w:r w:rsidRPr="00021CB0">
        <w:t xml:space="preserve"> and employability skills (Circelli 2015).</w:t>
      </w:r>
      <w:r w:rsidR="004A65CA" w:rsidRPr="00021CB0">
        <w:t xml:space="preserve"> </w:t>
      </w:r>
      <w:r w:rsidRPr="00021CB0">
        <w:t xml:space="preserve">Moderation and collegiate support are also considered valuable forms of </w:t>
      </w:r>
      <w:r w:rsidR="00C37681" w:rsidRPr="00021CB0">
        <w:t>professional development</w:t>
      </w:r>
      <w:r w:rsidRPr="00021CB0">
        <w:t xml:space="preserve"> (</w:t>
      </w:r>
      <w:proofErr w:type="spellStart"/>
      <w:r w:rsidRPr="00021CB0">
        <w:t>Escalier</w:t>
      </w:r>
      <w:proofErr w:type="spellEnd"/>
      <w:r w:rsidRPr="00021CB0">
        <w:t xml:space="preserve"> McLean Consulting 2013). </w:t>
      </w:r>
    </w:p>
    <w:p w:rsidR="00562BED" w:rsidRPr="00021CB0" w:rsidRDefault="00562BED" w:rsidP="00021CB0">
      <w:pPr>
        <w:pStyle w:val="Text"/>
      </w:pPr>
      <w:r w:rsidRPr="00021CB0">
        <w:t xml:space="preserve">In Canada, </w:t>
      </w:r>
      <w:proofErr w:type="spellStart"/>
      <w:r w:rsidRPr="00021CB0">
        <w:t>Leckie</w:t>
      </w:r>
      <w:proofErr w:type="spellEnd"/>
      <w:r w:rsidRPr="00021CB0">
        <w:t xml:space="preserve"> et al. (2014) investigated </w:t>
      </w:r>
      <w:r w:rsidR="0065513D" w:rsidRPr="00021CB0">
        <w:t>professional development</w:t>
      </w:r>
      <w:r w:rsidRPr="00021CB0">
        <w:t xml:space="preserve"> provision and needs through practitioner self-assessment and found the</w:t>
      </w:r>
      <w:r w:rsidR="004A65CA" w:rsidRPr="00021CB0">
        <w:t xml:space="preserve"> </w:t>
      </w:r>
      <w:r w:rsidRPr="00021CB0">
        <w:t>most popular modes were learning by doing, accredited training, informal mentoring, formal on-the-job training, job shadowing, volunteering and attending workshops, conferences and training events (</w:t>
      </w:r>
      <w:proofErr w:type="spellStart"/>
      <w:r w:rsidRPr="00021CB0">
        <w:t>Leckie</w:t>
      </w:r>
      <w:proofErr w:type="spellEnd"/>
      <w:r w:rsidRPr="00021CB0">
        <w:t xml:space="preserve"> et al. 2014). Paid release time and financial support for training were identified as the most important factors in facilitating </w:t>
      </w:r>
      <w:r w:rsidR="00C37681" w:rsidRPr="00021CB0">
        <w:t>participation in professional development</w:t>
      </w:r>
      <w:r w:rsidRPr="00021CB0">
        <w:t xml:space="preserve"> (</w:t>
      </w:r>
      <w:proofErr w:type="spellStart"/>
      <w:r w:rsidRPr="00021CB0">
        <w:t>Leckie</w:t>
      </w:r>
      <w:proofErr w:type="spellEnd"/>
      <w:r w:rsidRPr="00021CB0">
        <w:t xml:space="preserve"> et al. 2014). Another important factor was encouragement by senior people to participate in </w:t>
      </w:r>
      <w:r w:rsidR="00C37681" w:rsidRPr="00021CB0">
        <w:t>professional development</w:t>
      </w:r>
      <w:r w:rsidRPr="00021CB0">
        <w:t xml:space="preserve"> (</w:t>
      </w:r>
      <w:proofErr w:type="spellStart"/>
      <w:r w:rsidRPr="00021CB0">
        <w:t>Leckie</w:t>
      </w:r>
      <w:proofErr w:type="spellEnd"/>
      <w:r w:rsidRPr="00021CB0">
        <w:t xml:space="preserve"> et al. 2014). </w:t>
      </w:r>
    </w:p>
    <w:p w:rsidR="00562BED" w:rsidRPr="00886A80" w:rsidRDefault="00562BED" w:rsidP="00886A80">
      <w:pPr>
        <w:pStyle w:val="Text"/>
      </w:pPr>
    </w:p>
    <w:p w:rsidR="00562BED" w:rsidRPr="00562BED" w:rsidRDefault="00562BED" w:rsidP="00562BED">
      <w:pPr>
        <w:pStyle w:val="Heading1"/>
      </w:pPr>
      <w:bookmarkStart w:id="46" w:name="_Toc468885413"/>
      <w:r w:rsidRPr="00562BED">
        <w:lastRenderedPageBreak/>
        <w:t>Professional frameworks</w:t>
      </w:r>
      <w:bookmarkEnd w:id="46"/>
    </w:p>
    <w:p w:rsidR="00562BED" w:rsidRPr="00021CB0" w:rsidRDefault="00562BED" w:rsidP="00021CB0">
      <w:pPr>
        <w:pStyle w:val="Text"/>
      </w:pPr>
      <w:r w:rsidRPr="00021CB0">
        <w:t xml:space="preserve">The literature suggests that </w:t>
      </w:r>
      <w:r w:rsidR="00B362BE" w:rsidRPr="00021CB0">
        <w:t>literacy and numeracy</w:t>
      </w:r>
      <w:r w:rsidRPr="00021CB0">
        <w:t xml:space="preserve"> practitioners have a sense of professionalism</w:t>
      </w:r>
      <w:r w:rsidR="0065513D" w:rsidRPr="00021CB0">
        <w:t>, which is</w:t>
      </w:r>
      <w:r w:rsidRPr="00021CB0">
        <w:t xml:space="preserve"> associated with the altruistic nature of adult </w:t>
      </w:r>
      <w:r w:rsidR="00B362BE" w:rsidRPr="00021CB0">
        <w:t>literacy and numeracy</w:t>
      </w:r>
      <w:r w:rsidRPr="00021CB0">
        <w:t xml:space="preserve"> provision and their relationship with learners. However, there is also an ongoing issue with recognition for those within the field, both in terms of defining their own skills and in articulating them to others. A professional standards framework for the Australian foundation workforce</w:t>
      </w:r>
      <w:r w:rsidR="00735EA9">
        <w:t>,</w:t>
      </w:r>
      <w:r w:rsidRPr="00021CB0">
        <w:t xml:space="preserve"> </w:t>
      </w:r>
      <w:r w:rsidR="00735EA9">
        <w:t xml:space="preserve">including literacy and numeracy practitioners, </w:t>
      </w:r>
      <w:r w:rsidRPr="00021CB0">
        <w:t>is proposed and is currently being developed. It aims to provide a mechanism by which to ‘strengthen and diversify the identity of the foundation skills practitioner field’ (</w:t>
      </w:r>
      <w:proofErr w:type="spellStart"/>
      <w:r w:rsidRPr="00021CB0">
        <w:t>Wignall</w:t>
      </w:r>
      <w:proofErr w:type="spellEnd"/>
      <w:r w:rsidRPr="00021CB0">
        <w:t xml:space="preserve"> 2015, p.20). Internationally there is research that both supports and questions professional frameworks. Researchers such as </w:t>
      </w:r>
      <w:proofErr w:type="spellStart"/>
      <w:r w:rsidRPr="00021CB0">
        <w:t>Wignall</w:t>
      </w:r>
      <w:proofErr w:type="spellEnd"/>
      <w:r w:rsidRPr="00021CB0">
        <w:t xml:space="preserve"> (2015), Dennis (2010), </w:t>
      </w:r>
      <w:proofErr w:type="spellStart"/>
      <w:r w:rsidRPr="00021CB0">
        <w:t>Ackland</w:t>
      </w:r>
      <w:proofErr w:type="spellEnd"/>
      <w:r w:rsidRPr="00021CB0">
        <w:t xml:space="preserve"> (2011), Cara et al. (2010) and </w:t>
      </w:r>
      <w:proofErr w:type="spellStart"/>
      <w:r w:rsidRPr="00021CB0">
        <w:t>Tusting</w:t>
      </w:r>
      <w:proofErr w:type="spellEnd"/>
      <w:r w:rsidRPr="00021CB0">
        <w:t xml:space="preserve"> (2009) have investigated who defines professionalism, who benefits from frameworks and standards, and ultimately how the </w:t>
      </w:r>
      <w:r w:rsidR="00B362BE" w:rsidRPr="00021CB0">
        <w:t>literacy and numeracy</w:t>
      </w:r>
      <w:r w:rsidRPr="00021CB0">
        <w:t xml:space="preserve"> workforce, particularly the teachers working with students, use the frameworks. </w:t>
      </w:r>
    </w:p>
    <w:p w:rsidR="00562BED" w:rsidRPr="00562BED" w:rsidRDefault="00562BED" w:rsidP="00562BED">
      <w:pPr>
        <w:pStyle w:val="Heading2"/>
      </w:pPr>
      <w:bookmarkStart w:id="47" w:name="_Toc468885414"/>
      <w:r w:rsidRPr="00562BED">
        <w:t>Need for Australian frameworks and standards</w:t>
      </w:r>
      <w:bookmarkEnd w:id="47"/>
    </w:p>
    <w:p w:rsidR="00562BED" w:rsidRPr="00021CB0" w:rsidRDefault="00562BED" w:rsidP="00021CB0">
      <w:pPr>
        <w:pStyle w:val="Text"/>
      </w:pPr>
      <w:r w:rsidRPr="00021CB0">
        <w:t xml:space="preserve">In reviewing the </w:t>
      </w:r>
      <w:r w:rsidR="00B362BE" w:rsidRPr="00021CB0">
        <w:t>literacy and numeracy</w:t>
      </w:r>
      <w:r w:rsidRPr="00021CB0">
        <w:t xml:space="preserve"> workforce</w:t>
      </w:r>
      <w:r w:rsidR="003F2434" w:rsidRPr="00021CB0">
        <w:t>,</w:t>
      </w:r>
      <w:r w:rsidRPr="00021CB0">
        <w:t xml:space="preserve"> Perkins (2009) suggested that </w:t>
      </w:r>
      <w:r w:rsidR="00B362BE" w:rsidRPr="00021CB0">
        <w:t>literacy and numeracy</w:t>
      </w:r>
      <w:r w:rsidRPr="00021CB0">
        <w:t xml:space="preserve"> practitioners would need to reinvent themselves to maintain relevanc</w:t>
      </w:r>
      <w:r w:rsidR="0065513D" w:rsidRPr="00021CB0">
        <w:t>e</w:t>
      </w:r>
      <w:r w:rsidRPr="00021CB0">
        <w:t xml:space="preserve"> by responding to the need to achieve outcomes associated with social inclusion, workplace skills a</w:t>
      </w:r>
      <w:r w:rsidR="00B362BE" w:rsidRPr="00021CB0">
        <w:t xml:space="preserve">nd improved productivity. </w:t>
      </w:r>
      <w:r w:rsidRPr="00021CB0">
        <w:t>Her research also pointed to the need to address lifelong literacy and numeracy:</w:t>
      </w:r>
    </w:p>
    <w:p w:rsidR="00562BED" w:rsidRDefault="00562BED" w:rsidP="00562BED">
      <w:pPr>
        <w:pStyle w:val="Quote"/>
      </w:pPr>
      <w:r>
        <w:t>With most members of the current language, literacy and numeracy practitioner workforce approaching retirement, there is a pressing need to find innovative ways of sourcing and training a ‘new breed’ of literacy and numeracy trainers with the specialised skills to deal with the complexity of contemporary literacy and numeracy teaching</w:t>
      </w:r>
      <w:r w:rsidR="004D751C">
        <w:t xml:space="preserve"> (p.7)</w:t>
      </w:r>
      <w:r w:rsidR="003F2434">
        <w:t>.</w:t>
      </w:r>
      <w:r w:rsidR="003F2434">
        <w:tab/>
      </w:r>
      <w:r w:rsidR="004D751C">
        <w:t xml:space="preserve"> </w:t>
      </w:r>
      <w:r>
        <w:t xml:space="preserve"> </w:t>
      </w:r>
    </w:p>
    <w:p w:rsidR="00562BED" w:rsidRPr="00021CB0" w:rsidRDefault="00562BED" w:rsidP="00021CB0">
      <w:pPr>
        <w:pStyle w:val="Text"/>
      </w:pPr>
      <w:r w:rsidRPr="00021CB0">
        <w:t xml:space="preserve">Resituating </w:t>
      </w:r>
      <w:r w:rsidR="003F2434" w:rsidRPr="00021CB0">
        <w:t xml:space="preserve">themselves </w:t>
      </w:r>
      <w:r w:rsidRPr="00021CB0">
        <w:t xml:space="preserve">in the foundation skills area is one such method by which </w:t>
      </w:r>
      <w:r w:rsidR="00B362BE" w:rsidRPr="00021CB0">
        <w:t>literacy and numeracy</w:t>
      </w:r>
      <w:r w:rsidRPr="00021CB0">
        <w:t xml:space="preserve"> practitioners can remain relevant in the current Australian adult education environment (Perkins 2009). To define the foundation skills workforce, the 2012 Australian National Foundation Skills Strategy called for a ‘national framework of qualifications and skill sets for practitioners responsible for delivery of foundation skills’ (</w:t>
      </w:r>
      <w:r w:rsidR="00FC27C1" w:rsidRPr="00021CB0">
        <w:t>Standing Council on Tertiary Education, Skills and Employment</w:t>
      </w:r>
      <w:r w:rsidRPr="00021CB0">
        <w:t xml:space="preserve"> 2012, p.20). The framework aims to:</w:t>
      </w:r>
    </w:p>
    <w:p w:rsidR="00562BED" w:rsidRPr="00562BED" w:rsidRDefault="00562BED" w:rsidP="00562BED">
      <w:pPr>
        <w:pStyle w:val="Dotpoint1"/>
      </w:pPr>
      <w:r w:rsidRPr="00562BED">
        <w:t>enhance professional standards</w:t>
      </w:r>
    </w:p>
    <w:p w:rsidR="00562BED" w:rsidRPr="00562BED" w:rsidRDefault="00562BED" w:rsidP="00562BED">
      <w:pPr>
        <w:pStyle w:val="Dotpoint1"/>
      </w:pPr>
      <w:r w:rsidRPr="00562BED">
        <w:t>provide clear career pathways</w:t>
      </w:r>
    </w:p>
    <w:p w:rsidR="00562BED" w:rsidRPr="00562BED" w:rsidRDefault="00562BED" w:rsidP="00562BED">
      <w:pPr>
        <w:pStyle w:val="Dotpoint1"/>
      </w:pPr>
      <w:r w:rsidRPr="00562BED">
        <w:t>strengthen and diversify the identity of the field</w:t>
      </w:r>
    </w:p>
    <w:p w:rsidR="00562BED" w:rsidRPr="00562BED" w:rsidRDefault="00562BED" w:rsidP="00562BED">
      <w:pPr>
        <w:pStyle w:val="Dotpoint1"/>
      </w:pPr>
      <w:proofErr w:type="gramStart"/>
      <w:r w:rsidRPr="00562BED">
        <w:t>maintain</w:t>
      </w:r>
      <w:proofErr w:type="gramEnd"/>
      <w:r w:rsidRPr="00562BED">
        <w:t xml:space="preserve"> professional expertise.</w:t>
      </w:r>
    </w:p>
    <w:p w:rsidR="00562BED" w:rsidRDefault="00735EA9" w:rsidP="00562BED">
      <w:pPr>
        <w:pStyle w:val="Text"/>
      </w:pPr>
      <w:r>
        <w:t>A professional standards</w:t>
      </w:r>
      <w:r w:rsidR="00562BED">
        <w:t xml:space="preserve"> structure would ‘provide a consistent, shared language for talking about the range of roles and responsibilities in the foundation skills field, and document the types of capabilities demonstrated by those working within the field’ (</w:t>
      </w:r>
      <w:proofErr w:type="spellStart"/>
      <w:r w:rsidR="00562BED">
        <w:t>Wignall</w:t>
      </w:r>
      <w:proofErr w:type="spellEnd"/>
      <w:r w:rsidR="00562BED">
        <w:t xml:space="preserve"> 2015, p.20). The benefit to practitioners is described as creating a ‘multidimensional framework’</w:t>
      </w:r>
      <w:r w:rsidR="003F2434">
        <w:t>, one</w:t>
      </w:r>
      <w:r w:rsidR="00562BED">
        <w:t xml:space="preserve"> that allows the professional to define their own status, determine professional development needs and communicate their status and function to stakeholders outside the profession </w:t>
      </w:r>
      <w:r w:rsidR="00562BED">
        <w:lastRenderedPageBreak/>
        <w:t>(</w:t>
      </w:r>
      <w:proofErr w:type="spellStart"/>
      <w:r w:rsidR="00562BED">
        <w:t>Wignall</w:t>
      </w:r>
      <w:proofErr w:type="spellEnd"/>
      <w:r w:rsidR="00562BED">
        <w:t xml:space="preserve"> 2015, p.21). The initial project developed a draft of the Foundation Skills Professional Framework, available online. Although funding ceased before the framework was complete</w:t>
      </w:r>
      <w:r w:rsidR="0065513D">
        <w:t>,</w:t>
      </w:r>
      <w:r w:rsidR="00562BED">
        <w:t xml:space="preserve"> a new funding round has been agreed and the framework will be complete by June 2017 (pers. com</w:t>
      </w:r>
      <w:r w:rsidR="0065513D">
        <w:t xml:space="preserve">m., L </w:t>
      </w:r>
      <w:proofErr w:type="spellStart"/>
      <w:r w:rsidR="0065513D">
        <w:t>Wignall</w:t>
      </w:r>
      <w:proofErr w:type="spellEnd"/>
      <w:r w:rsidR="003F2434">
        <w:t>,</w:t>
      </w:r>
      <w:r w:rsidR="0065513D">
        <w:t xml:space="preserve"> 9 May 20</w:t>
      </w:r>
      <w:r w:rsidR="00562BED">
        <w:t xml:space="preserve">16). </w:t>
      </w:r>
    </w:p>
    <w:p w:rsidR="00562BED" w:rsidRPr="00FC082E" w:rsidRDefault="00562BED" w:rsidP="00562BED">
      <w:pPr>
        <w:pStyle w:val="Heading2"/>
      </w:pPr>
      <w:bookmarkStart w:id="48" w:name="_Toc468885415"/>
      <w:r w:rsidRPr="00FC082E">
        <w:t>Who defines professionalism?</w:t>
      </w:r>
      <w:bookmarkEnd w:id="48"/>
      <w:r w:rsidRPr="00FC082E">
        <w:t xml:space="preserve"> </w:t>
      </w:r>
    </w:p>
    <w:p w:rsidR="00562BED" w:rsidRPr="00562BED" w:rsidRDefault="00562BED" w:rsidP="00562BED">
      <w:pPr>
        <w:pStyle w:val="Text"/>
      </w:pPr>
      <w:r w:rsidRPr="00562BED">
        <w:t xml:space="preserve">Within academic literature there is much discussion about who defines professionalism and whether it benefits </w:t>
      </w:r>
      <w:r w:rsidR="00B362BE">
        <w:t>literacy and numeracy</w:t>
      </w:r>
      <w:r w:rsidRPr="00562BED">
        <w:t xml:space="preserve"> practitioners.</w:t>
      </w:r>
      <w:r w:rsidR="00B362BE">
        <w:t xml:space="preserve"> </w:t>
      </w:r>
      <w:r w:rsidRPr="00562BED">
        <w:t xml:space="preserve">The OECD (2008) </w:t>
      </w:r>
      <w:r w:rsidR="0065513D">
        <w:t>notes that</w:t>
      </w:r>
      <w:r w:rsidRPr="00562BED">
        <w:t xml:space="preserve"> there is a need </w:t>
      </w:r>
      <w:r w:rsidR="0065513D">
        <w:t>to strengthen</w:t>
      </w:r>
      <w:r w:rsidRPr="00562BED">
        <w:t xml:space="preserve"> professionalism but some researchers suggest problems arise with the implementation and maintenance of professional frameworks and standards if there are d</w:t>
      </w:r>
      <w:r w:rsidR="00B837EF">
        <w:t>iscrepancies between how policy-</w:t>
      </w:r>
      <w:r w:rsidRPr="00562BED">
        <w:t>makers or other stakeholders and the workforce participants themselves see their role, and therefore how the role is interpreted in the guidelines (</w:t>
      </w:r>
      <w:proofErr w:type="spellStart"/>
      <w:r w:rsidRPr="00562BED">
        <w:t>Ackland</w:t>
      </w:r>
      <w:proofErr w:type="spellEnd"/>
      <w:r w:rsidRPr="00562BED">
        <w:t xml:space="preserve"> 2011; Dennis 2010; Cara et al. 2010; </w:t>
      </w:r>
      <w:proofErr w:type="spellStart"/>
      <w:r w:rsidRPr="00562BED">
        <w:t>Tusting</w:t>
      </w:r>
      <w:proofErr w:type="spellEnd"/>
      <w:r w:rsidRPr="00562BED">
        <w:t xml:space="preserve"> 2009). </w:t>
      </w:r>
      <w:r w:rsidR="00B837EF">
        <w:t xml:space="preserve">As </w:t>
      </w:r>
      <w:r w:rsidR="00B837EF" w:rsidRPr="00562BED">
        <w:t xml:space="preserve">Cara et al. </w:t>
      </w:r>
      <w:r w:rsidR="00B837EF">
        <w:t>(</w:t>
      </w:r>
      <w:r w:rsidR="00B837EF" w:rsidRPr="00562BED">
        <w:t>2010, p.58</w:t>
      </w:r>
      <w:r w:rsidR="00B837EF">
        <w:t xml:space="preserve">) emphasise: </w:t>
      </w:r>
      <w:r w:rsidRPr="00562BED">
        <w:t>‘If teachers do not trust educational reform to effect meaningful change for their learners, there is a negative impact on the altruistic aspects o</w:t>
      </w:r>
      <w:r w:rsidR="00B837EF">
        <w:t>f their professional identity’</w:t>
      </w:r>
      <w:r w:rsidRPr="00562BED">
        <w:t>.</w:t>
      </w:r>
    </w:p>
    <w:p w:rsidR="00562BED" w:rsidRPr="00562BED" w:rsidRDefault="00562BED" w:rsidP="00562BED">
      <w:pPr>
        <w:pStyle w:val="Text"/>
      </w:pPr>
      <w:r w:rsidRPr="00562BED">
        <w:t xml:space="preserve">One reason </w:t>
      </w:r>
      <w:r w:rsidR="00B837EF">
        <w:t xml:space="preserve">for the failure of </w:t>
      </w:r>
      <w:r w:rsidRPr="00562BED">
        <w:t xml:space="preserve">frameworks is that there is not necessarily agreement between the practitioners themselves about what constitutes professionalism because of the diversity of the </w:t>
      </w:r>
      <w:r w:rsidR="00C37681">
        <w:t>literacy and numeracy</w:t>
      </w:r>
      <w:r w:rsidRPr="00562BED">
        <w:t xml:space="preserve"> space (</w:t>
      </w:r>
      <w:proofErr w:type="spellStart"/>
      <w:r w:rsidRPr="00562BED">
        <w:t>Ackland</w:t>
      </w:r>
      <w:proofErr w:type="spellEnd"/>
      <w:r w:rsidRPr="00562BED">
        <w:t xml:space="preserve"> 2011). This may be an issue for some Australian </w:t>
      </w:r>
      <w:r w:rsidR="00B362BE">
        <w:t>literacy and numeracy</w:t>
      </w:r>
      <w:r w:rsidRPr="00562BED">
        <w:t xml:space="preserve"> practitioners as they are incorporated into </w:t>
      </w:r>
      <w:r w:rsidR="00B837EF">
        <w:t>the foundation skills framework;</w:t>
      </w:r>
      <w:r w:rsidRPr="00562BED">
        <w:t xml:space="preserve"> however</w:t>
      </w:r>
      <w:r w:rsidR="00B837EF">
        <w:t>,</w:t>
      </w:r>
      <w:r w:rsidRPr="00562BED">
        <w:t xml:space="preserve"> the consultation process informing the framework construction examined the attitudes of practitioners towards the term </w:t>
      </w:r>
      <w:r w:rsidR="00B837EF">
        <w:t>‘</w:t>
      </w:r>
      <w:r w:rsidRPr="00562BED">
        <w:t>foundation skills</w:t>
      </w:r>
      <w:r w:rsidR="00B837EF">
        <w:t>’</w:t>
      </w:r>
      <w:r w:rsidRPr="00562BED">
        <w:t xml:space="preserve"> and revealed that, among those consulted, the term was widely accepted if it included the identification of specialisations within the field (</w:t>
      </w:r>
      <w:proofErr w:type="spellStart"/>
      <w:r w:rsidRPr="00562BED">
        <w:t>Wignall</w:t>
      </w:r>
      <w:proofErr w:type="spellEnd"/>
      <w:r w:rsidRPr="00562BED">
        <w:t xml:space="preserve"> 2015). </w:t>
      </w:r>
    </w:p>
    <w:p w:rsidR="00562BED" w:rsidRDefault="00562BED" w:rsidP="00562BED">
      <w:pPr>
        <w:pStyle w:val="Text"/>
      </w:pPr>
      <w:r>
        <w:t>Inherent in the process of creating frameworks and standards is the question of what constitutes professionalism.</w:t>
      </w:r>
      <w:r w:rsidR="004A65CA">
        <w:t xml:space="preserve"> </w:t>
      </w:r>
      <w:r>
        <w:t>Professionalism</w:t>
      </w:r>
      <w:r w:rsidR="003F2434">
        <w:t>,</w:t>
      </w:r>
      <w:r>
        <w:t xml:space="preserve"> as defined by other stakeholders, such as</w:t>
      </w:r>
      <w:r w:rsidR="004A65CA">
        <w:t xml:space="preserve"> </w:t>
      </w:r>
      <w:r>
        <w:t xml:space="preserve">government and funding agencies, who situate </w:t>
      </w:r>
      <w:r w:rsidR="00B362BE">
        <w:t>literacy and numeracy</w:t>
      </w:r>
      <w:r>
        <w:t xml:space="preserve"> in the dominant discourse (for example, a human capital discourse</w:t>
      </w:r>
      <w:r w:rsidR="00B837EF">
        <w:t>,</w:t>
      </w:r>
      <w:r>
        <w:t xml:space="preserve"> where </w:t>
      </w:r>
      <w:r w:rsidR="00B362BE">
        <w:t>literacy and numeracy</w:t>
      </w:r>
      <w:r>
        <w:t xml:space="preserve"> is a tool for enabling workforce participation and productivity) is in conflict with the ethos of professionalism held by many </w:t>
      </w:r>
      <w:r w:rsidR="00C37681">
        <w:t>literacy and numeracy</w:t>
      </w:r>
      <w:r>
        <w:t xml:space="preserve"> teachers</w:t>
      </w:r>
      <w:r w:rsidR="00B837EF">
        <w:t>, an ethos</w:t>
      </w:r>
      <w:r>
        <w:t xml:space="preserve"> which is based on ‘</w:t>
      </w:r>
      <w:r w:rsidRPr="00E44626">
        <w:t>a commitment of horizontality in relationships, to equity and social justice</w:t>
      </w:r>
      <w:r>
        <w:t>’ (Dennis 2010, p.38) and more directly related to their personal day-to-day interactions with students, colleagues and other close stakeholders (</w:t>
      </w:r>
      <w:r w:rsidR="003F2434">
        <w:t xml:space="preserve">for </w:t>
      </w:r>
      <w:r>
        <w:t>ex</w:t>
      </w:r>
      <w:r w:rsidR="003F2434">
        <w:t>ample, in</w:t>
      </w:r>
      <w:r w:rsidR="00B362BE">
        <w:t xml:space="preserve"> Yasukawa &amp; Black 2016</w:t>
      </w:r>
      <w:r>
        <w:t xml:space="preserve">; Dennis 2010; </w:t>
      </w:r>
      <w:proofErr w:type="spellStart"/>
      <w:r>
        <w:t>Tusting</w:t>
      </w:r>
      <w:proofErr w:type="spellEnd"/>
      <w:r>
        <w:t xml:space="preserve"> 2009; Quigley 2006). For example, Jameson and Hillier (2008) researched part-time staff and found practitioners based their sense of professionalism on their ability to meet the needs of students. </w:t>
      </w:r>
      <w:proofErr w:type="spellStart"/>
      <w:r>
        <w:t>Tummons</w:t>
      </w:r>
      <w:proofErr w:type="spellEnd"/>
      <w:r>
        <w:t xml:space="preserve"> explains that the </w:t>
      </w:r>
      <w:proofErr w:type="spellStart"/>
      <w:r>
        <w:t>managerialist</w:t>
      </w:r>
      <w:proofErr w:type="spellEnd"/>
      <w:r>
        <w:t xml:space="preserve"> discourse defines professionalism</w:t>
      </w:r>
      <w:r w:rsidRPr="00E705A4">
        <w:t xml:space="preserve"> in terms of compliance and control</w:t>
      </w:r>
      <w:r>
        <w:t xml:space="preserve">, while </w:t>
      </w:r>
      <w:r w:rsidRPr="004E3806">
        <w:t>a practice discourse relate</w:t>
      </w:r>
      <w:r>
        <w:t>s</w:t>
      </w:r>
      <w:r w:rsidRPr="004E3806">
        <w:t xml:space="preserve"> to teaching and interacting with students (</w:t>
      </w:r>
      <w:proofErr w:type="spellStart"/>
      <w:r w:rsidRPr="004E3806">
        <w:t>Tummons</w:t>
      </w:r>
      <w:proofErr w:type="spellEnd"/>
      <w:r w:rsidRPr="004E3806">
        <w:t xml:space="preserve"> 2014, p.41)</w:t>
      </w:r>
      <w:r w:rsidR="003F2434">
        <w:t>.</w:t>
      </w:r>
      <w:r>
        <w:t xml:space="preserve"> </w:t>
      </w:r>
      <w:proofErr w:type="spellStart"/>
      <w:r>
        <w:t>Ackland</w:t>
      </w:r>
      <w:proofErr w:type="spellEnd"/>
      <w:r>
        <w:t xml:space="preserve"> (2011) identifies three interests in professionalising </w:t>
      </w:r>
      <w:r w:rsidR="00B837EF">
        <w:t>literacy and numeracy</w:t>
      </w:r>
      <w:r>
        <w:t xml:space="preserve"> that may be in conflict: ‘political, administrative and professional’ (</w:t>
      </w:r>
      <w:proofErr w:type="spellStart"/>
      <w:r>
        <w:t>Hjort</w:t>
      </w:r>
      <w:proofErr w:type="spellEnd"/>
      <w:r>
        <w:t xml:space="preserve"> 2009</w:t>
      </w:r>
      <w:r w:rsidR="00B837EF">
        <w:t>,</w:t>
      </w:r>
      <w:r>
        <w:t xml:space="preserve"> in </w:t>
      </w:r>
      <w:proofErr w:type="spellStart"/>
      <w:r>
        <w:t>Ackland</w:t>
      </w:r>
      <w:proofErr w:type="spellEnd"/>
      <w:r>
        <w:t xml:space="preserve"> 2011, p.67). In the UK two sets of standards have been attempted, but neithe</w:t>
      </w:r>
      <w:r w:rsidR="006519B7">
        <w:t>r have</w:t>
      </w:r>
      <w:r>
        <w:t xml:space="preserve"> been successful (Duckworth &amp; Hamilton 2016; </w:t>
      </w:r>
      <w:proofErr w:type="spellStart"/>
      <w:r w:rsidRPr="004B7467">
        <w:t>Tummons</w:t>
      </w:r>
      <w:proofErr w:type="spellEnd"/>
      <w:r>
        <w:t xml:space="preserve"> </w:t>
      </w:r>
      <w:r w:rsidRPr="004B7467">
        <w:t>2014)</w:t>
      </w:r>
      <w:r>
        <w:t xml:space="preserve">. According to </w:t>
      </w:r>
      <w:proofErr w:type="spellStart"/>
      <w:r>
        <w:t>Tummons</w:t>
      </w:r>
      <w:proofErr w:type="spellEnd"/>
      <w:r w:rsidR="00B837EF">
        <w:t>,</w:t>
      </w:r>
      <w:r>
        <w:t xml:space="preserve"> the standards were not embraced because</w:t>
      </w:r>
      <w:r w:rsidRPr="004B7467">
        <w:t xml:space="preserve"> </w:t>
      </w:r>
      <w:r>
        <w:t xml:space="preserve">they were </w:t>
      </w:r>
      <w:r w:rsidRPr="004B7467">
        <w:t xml:space="preserve">not reflective of </w:t>
      </w:r>
      <w:r>
        <w:t xml:space="preserve">the </w:t>
      </w:r>
      <w:r w:rsidRPr="004B7467">
        <w:t>reality</w:t>
      </w:r>
      <w:r>
        <w:t xml:space="preserve"> of teaching practice. They were criticised by several authors for ‘</w:t>
      </w:r>
      <w:r w:rsidRPr="00154668">
        <w:t xml:space="preserve">positing a restricted, </w:t>
      </w:r>
      <w:proofErr w:type="spellStart"/>
      <w:r w:rsidRPr="00154668">
        <w:t>technicist</w:t>
      </w:r>
      <w:proofErr w:type="spellEnd"/>
      <w:r w:rsidRPr="00154668">
        <w:t xml:space="preserve"> discourse of professional</w:t>
      </w:r>
      <w:r>
        <w:t xml:space="preserve"> </w:t>
      </w:r>
      <w:r w:rsidRPr="00154668">
        <w:t>knowledge within the learning and skills sector, akin to a competency-based</w:t>
      </w:r>
      <w:r>
        <w:t xml:space="preserve"> </w:t>
      </w:r>
      <w:r w:rsidRPr="00154668">
        <w:t>approach to learning</w:t>
      </w:r>
      <w:r>
        <w:t>’</w:t>
      </w:r>
      <w:r w:rsidRPr="00154668">
        <w:t xml:space="preserve"> (</w:t>
      </w:r>
      <w:proofErr w:type="spellStart"/>
      <w:r w:rsidRPr="00154668">
        <w:t>Tummons</w:t>
      </w:r>
      <w:proofErr w:type="spellEnd"/>
      <w:r w:rsidR="004A65CA">
        <w:t>,</w:t>
      </w:r>
      <w:r w:rsidR="00B837EF">
        <w:t xml:space="preserve"> pp.33—</w:t>
      </w:r>
      <w:r w:rsidRPr="00154668">
        <w:t xml:space="preserve">4). </w:t>
      </w:r>
      <w:r w:rsidR="003F2434">
        <w:t>By</w:t>
      </w:r>
      <w:r w:rsidRPr="00154668">
        <w:t xml:space="preserve"> contrast, in </w:t>
      </w:r>
      <w:r>
        <w:t xml:space="preserve">the development phase of the proposed Australian professional </w:t>
      </w:r>
      <w:r>
        <w:lastRenderedPageBreak/>
        <w:t>standards framework there was extensive national consultation</w:t>
      </w:r>
      <w:r w:rsidR="00B837EF">
        <w:t>,</w:t>
      </w:r>
      <w:r>
        <w:t xml:space="preserve"> providing ‘a rare opportunity for grassroots feedback’ to inform the content of the framework, with practitioners afforded multiple opportunities to provide input (</w:t>
      </w:r>
      <w:proofErr w:type="spellStart"/>
      <w:r>
        <w:t>Wignall</w:t>
      </w:r>
      <w:proofErr w:type="spellEnd"/>
      <w:r>
        <w:t xml:space="preserve"> 2015, p.24). </w:t>
      </w:r>
    </w:p>
    <w:p w:rsidR="00562BED" w:rsidRDefault="00562BED" w:rsidP="00562BED">
      <w:pPr>
        <w:pStyle w:val="Heading2"/>
      </w:pPr>
      <w:bookmarkStart w:id="49" w:name="_Toc468885416"/>
      <w:r w:rsidRPr="00437D58">
        <w:t>Who benefits from frameworks and standards?</w:t>
      </w:r>
      <w:bookmarkEnd w:id="49"/>
    </w:p>
    <w:p w:rsidR="00562BED" w:rsidRPr="00562BED" w:rsidRDefault="00562BED" w:rsidP="00562BED">
      <w:pPr>
        <w:pStyle w:val="Text"/>
      </w:pPr>
      <w:r w:rsidRPr="00562BED">
        <w:t xml:space="preserve">In considering why professional frameworks are desirable, </w:t>
      </w:r>
      <w:proofErr w:type="spellStart"/>
      <w:r w:rsidRPr="00562BED">
        <w:t>Tummons</w:t>
      </w:r>
      <w:proofErr w:type="spellEnd"/>
      <w:r w:rsidRPr="00562BED">
        <w:t xml:space="preserve"> (2014) suggests there are three functions to be considered: they allow the profess</w:t>
      </w:r>
      <w:r w:rsidR="00B837EF">
        <w:t>ion to be publically understood;</w:t>
      </w:r>
      <w:r w:rsidRPr="00562BED">
        <w:t xml:space="preserve"> they allow the development, delivery and assessment of qualifications to be designed</w:t>
      </w:r>
      <w:r w:rsidR="00B837EF">
        <w:t>;</w:t>
      </w:r>
      <w:r w:rsidRPr="00562BED">
        <w:t xml:space="preserve"> and they provide benchmarks against which to evaluate members of the profession. The benefit of allowing the profession to be publically understood accords with research (such as </w:t>
      </w:r>
      <w:proofErr w:type="spellStart"/>
      <w:r w:rsidRPr="00562BED">
        <w:t>Leske</w:t>
      </w:r>
      <w:proofErr w:type="spellEnd"/>
      <w:r w:rsidRPr="00562BED">
        <w:t xml:space="preserve"> 2009) that suggests a barrier to collaboration and community work is </w:t>
      </w:r>
      <w:r w:rsidR="003F2434">
        <w:t>a</w:t>
      </w:r>
      <w:r w:rsidRPr="00562BED">
        <w:t xml:space="preserve"> lack of understanding of the </w:t>
      </w:r>
      <w:r w:rsidR="004A65CA">
        <w:t xml:space="preserve">literacy and numeracy </w:t>
      </w:r>
      <w:r w:rsidRPr="00562BED">
        <w:t>practitioner role by potential partners. In surveying the Australian foundation skills workforce</w:t>
      </w:r>
      <w:r w:rsidR="00B837EF">
        <w:t>,</w:t>
      </w:r>
      <w:r w:rsidRPr="00562BED">
        <w:t xml:space="preserve"> Circelli (2015) found that the majority of respondents felt that a mechanism for increasing and documenting professional credibility was desirable. In Canada, </w:t>
      </w:r>
      <w:proofErr w:type="spellStart"/>
      <w:r w:rsidRPr="00562BED">
        <w:t>Leckie</w:t>
      </w:r>
      <w:proofErr w:type="spellEnd"/>
      <w:r w:rsidRPr="00562BED">
        <w:t xml:space="preserve"> et al. (2014) reported that practitioners found skills recognition gave intangible benefits such as professional pride, job satisfaction and motivation rather than tangible benefits</w:t>
      </w:r>
      <w:r w:rsidR="00B837EF">
        <w:t>,</w:t>
      </w:r>
      <w:r w:rsidRPr="00562BED">
        <w:t xml:space="preserve"> such as career advancement and increased earnings.</w:t>
      </w:r>
    </w:p>
    <w:p w:rsidR="00562BED" w:rsidRPr="00562BED" w:rsidRDefault="00562BED" w:rsidP="00562BED">
      <w:pPr>
        <w:pStyle w:val="Text"/>
      </w:pPr>
      <w:r w:rsidRPr="00562BED">
        <w:t xml:space="preserve">There are both pros and cons discussed in the literature with regard to how frameworks and standards impact </w:t>
      </w:r>
      <w:r w:rsidR="003F2434">
        <w:t xml:space="preserve">on </w:t>
      </w:r>
      <w:r w:rsidRPr="00562BED">
        <w:t xml:space="preserve">the development, delivery and assessment of qualifications and </w:t>
      </w:r>
      <w:r w:rsidR="004A65CA">
        <w:t>professional development</w:t>
      </w:r>
      <w:r w:rsidRPr="00562BED">
        <w:t>. In Australian research</w:t>
      </w:r>
      <w:r w:rsidR="00B837EF">
        <w:t>,</w:t>
      </w:r>
      <w:r w:rsidRPr="00562BED">
        <w:t xml:space="preserve"> 78% of respondents to a survey of foundation skills practitioners would support ‘a formalised mechanism for recognising the professional development they had undertaken, similar to what occurs with professional associations’ (Circelli 2015, p.34). Respondents who were supportive indicated that such frameworks would encourage professional development participation, maintain standards of currency, increase and document professional credibility and facilitate a network of professionals (Circelli 2015). </w:t>
      </w:r>
      <w:r w:rsidR="003F2434">
        <w:t>By</w:t>
      </w:r>
      <w:r w:rsidRPr="00562BED">
        <w:t xml:space="preserve"> contrast, 20% of respondents did not support a formalised mechanism, highlighting concerns relating to increased bureaucracy, the validit</w:t>
      </w:r>
      <w:r w:rsidR="00B837EF">
        <w:t>y of the mechanism and relevance</w:t>
      </w:r>
      <w:r w:rsidRPr="00562BED">
        <w:t xml:space="preserve"> (Circelli 2015). Research showing that frameworks for </w:t>
      </w:r>
      <w:r w:rsidR="00987748">
        <w:t>literacy and numeracy</w:t>
      </w:r>
      <w:r w:rsidRPr="00562BED">
        <w:t xml:space="preserve"> workforces result in more or improved </w:t>
      </w:r>
      <w:r w:rsidR="004A65CA">
        <w:t>professional development</w:t>
      </w:r>
      <w:r w:rsidRPr="00562BED">
        <w:t xml:space="preserve"> is scarce. Some studies suggest standards may actually have </w:t>
      </w:r>
      <w:proofErr w:type="spellStart"/>
      <w:r w:rsidRPr="00562BED">
        <w:t>unforseen</w:t>
      </w:r>
      <w:proofErr w:type="spellEnd"/>
      <w:r w:rsidRPr="00562BED">
        <w:t xml:space="preserve"> impacts in limiting the scope of the teacher role (Hunter 2016; </w:t>
      </w:r>
      <w:proofErr w:type="spellStart"/>
      <w:r w:rsidRPr="00562BED">
        <w:t>Bathmaker</w:t>
      </w:r>
      <w:proofErr w:type="spellEnd"/>
      <w:r w:rsidRPr="00562BED">
        <w:t xml:space="preserve"> 2000</w:t>
      </w:r>
      <w:r w:rsidR="003F2434">
        <w:t>,</w:t>
      </w:r>
      <w:r w:rsidRPr="00562BED">
        <w:t xml:space="preserve"> in Morton, McGuire &amp; </w:t>
      </w:r>
      <w:proofErr w:type="spellStart"/>
      <w:r w:rsidRPr="00562BED">
        <w:t>Baynham</w:t>
      </w:r>
      <w:proofErr w:type="spellEnd"/>
      <w:r w:rsidRPr="00562BED">
        <w:t xml:space="preserve"> 2006). </w:t>
      </w:r>
    </w:p>
    <w:p w:rsidR="00562BED" w:rsidRDefault="00562BED" w:rsidP="00562BED">
      <w:pPr>
        <w:pStyle w:val="Heading2"/>
      </w:pPr>
      <w:bookmarkStart w:id="50" w:name="_Toc468885417"/>
      <w:r>
        <w:t>How frameworks are used</w:t>
      </w:r>
      <w:bookmarkEnd w:id="50"/>
    </w:p>
    <w:p w:rsidR="00562BED" w:rsidRPr="00562BED" w:rsidRDefault="00562BED" w:rsidP="00562BED">
      <w:pPr>
        <w:pStyle w:val="Text"/>
      </w:pPr>
      <w:r w:rsidRPr="00562BED">
        <w:t xml:space="preserve">Teachers will engage with and support the frameworks only when they are seen as relevant to, and reflective of, the individual teacher’s current context (Cara et al. 2010; Dennis 2010; </w:t>
      </w:r>
      <w:proofErr w:type="spellStart"/>
      <w:r w:rsidRPr="00562BED">
        <w:t>Tusting</w:t>
      </w:r>
      <w:proofErr w:type="spellEnd"/>
      <w:r w:rsidRPr="00562BED">
        <w:t xml:space="preserve"> 2009).</w:t>
      </w:r>
      <w:r w:rsidR="004A65CA">
        <w:t xml:space="preserve"> </w:t>
      </w:r>
      <w:r w:rsidRPr="00562BED">
        <w:t>Cara et al. (2010) note that experienced teachers link best practice to teacher autonomy</w:t>
      </w:r>
      <w:r w:rsidR="003F2434">
        <w:t>,</w:t>
      </w:r>
      <w:r w:rsidRPr="00562BED">
        <w:t xml:space="preserve"> as it allows them to cater fo</w:t>
      </w:r>
      <w:r w:rsidR="001837C1">
        <w:t>r diverse contexts and needs;</w:t>
      </w:r>
      <w:r w:rsidRPr="00562BED">
        <w:t xml:space="preserve"> </w:t>
      </w:r>
      <w:r w:rsidR="00B837EF">
        <w:t xml:space="preserve">for </w:t>
      </w:r>
      <w:r w:rsidRPr="00562BED">
        <w:t xml:space="preserve">frameworks </w:t>
      </w:r>
      <w:r w:rsidR="00B837EF">
        <w:t>to be</w:t>
      </w:r>
      <w:r w:rsidRPr="00562BED">
        <w:t xml:space="preserve"> successful </w:t>
      </w:r>
      <w:r w:rsidR="001837C1">
        <w:t xml:space="preserve">therefore </w:t>
      </w:r>
      <w:r w:rsidR="00B837EF">
        <w:t xml:space="preserve">they </w:t>
      </w:r>
      <w:r w:rsidRPr="00562BED">
        <w:t>need to be flexible and non-prescriptive. When teachers are unable to reconcile their perceptions of their learners’ needs and their own roles with standards and frameworks</w:t>
      </w:r>
      <w:r w:rsidR="00B837EF">
        <w:t>,</w:t>
      </w:r>
      <w:r w:rsidRPr="00562BED">
        <w:t xml:space="preserve"> the literature suggests </w:t>
      </w:r>
      <w:r w:rsidR="001837C1">
        <w:t xml:space="preserve">that </w:t>
      </w:r>
      <w:r w:rsidRPr="00562BED">
        <w:t>experienced teachers comply to satisfy employment conditions, but seek creative ways to work within the frameworks to operate in ways they have experienced as being effective in meeting the needs</w:t>
      </w:r>
      <w:r w:rsidR="00B837EF">
        <w:t xml:space="preserve"> of their primary stakeholders —</w:t>
      </w:r>
      <w:r w:rsidRPr="00562BED">
        <w:t xml:space="preserve"> the learners (Dennis 2010; </w:t>
      </w:r>
      <w:proofErr w:type="spellStart"/>
      <w:r w:rsidRPr="00562BED">
        <w:t>Tusting</w:t>
      </w:r>
      <w:proofErr w:type="spellEnd"/>
      <w:r w:rsidRPr="00562BED">
        <w:t xml:space="preserve"> 2009). For example, </w:t>
      </w:r>
      <w:proofErr w:type="spellStart"/>
      <w:r w:rsidRPr="00562BED">
        <w:t>Tusting</w:t>
      </w:r>
      <w:proofErr w:type="spellEnd"/>
      <w:r w:rsidRPr="00562BED">
        <w:t xml:space="preserve"> (2009) describes the teacher understanding of what a ‘good teacher’ does and suggests </w:t>
      </w:r>
      <w:r w:rsidR="001837C1">
        <w:t xml:space="preserve">that </w:t>
      </w:r>
      <w:r w:rsidRPr="00562BED">
        <w:t xml:space="preserve">when this is at odds with imposed frameworks and models of operating, </w:t>
      </w:r>
      <w:r w:rsidRPr="00562BED">
        <w:lastRenderedPageBreak/>
        <w:t>teachers engage in work-around strategies, described as ‘various strategies of resistance’ (</w:t>
      </w:r>
      <w:proofErr w:type="spellStart"/>
      <w:r w:rsidRPr="00562BED">
        <w:t>Tusting</w:t>
      </w:r>
      <w:proofErr w:type="spellEnd"/>
      <w:r w:rsidRPr="00562BED">
        <w:t xml:space="preserve"> 2009, p.22)</w:t>
      </w:r>
      <w:r w:rsidR="004B6AB5">
        <w:t>,</w:t>
      </w:r>
      <w:r w:rsidRPr="00562BED">
        <w:t xml:space="preserve"> where ‘practitioners hijack the momentum and resource attached to policy to achieve their own purposes’ (Dennis</w:t>
      </w:r>
      <w:r w:rsidR="004B6AB5">
        <w:t xml:space="preserve"> 2010</w:t>
      </w:r>
      <w:r w:rsidRPr="00562BED">
        <w:t>, p.37).</w:t>
      </w:r>
    </w:p>
    <w:p w:rsidR="00562BED" w:rsidRDefault="00562BED" w:rsidP="00562BED">
      <w:pPr>
        <w:pStyle w:val="Text"/>
      </w:pPr>
      <w:r>
        <w:t>The Australian professional standards structure is still in development phase. The method of implementation is yet to be tested.</w:t>
      </w:r>
      <w:r w:rsidR="004A65CA">
        <w:t xml:space="preserve"> </w:t>
      </w:r>
      <w:r>
        <w:t>According to the recommendations, practitioners will be engaged effectively at all stages of implementation, with ongoing input from key professional groups and validation processes (</w:t>
      </w:r>
      <w:proofErr w:type="spellStart"/>
      <w:r>
        <w:t>Wignall</w:t>
      </w:r>
      <w:proofErr w:type="spellEnd"/>
      <w:r>
        <w:t xml:space="preserve"> 2015</w:t>
      </w:r>
      <w:r w:rsidR="004B6AB5" w:rsidRPr="004B6AB5">
        <w:t xml:space="preserve"> </w:t>
      </w:r>
      <w:r w:rsidR="004B6AB5">
        <w:t>p.25</w:t>
      </w:r>
      <w:r>
        <w:t xml:space="preserve">). The proposal calls for: </w:t>
      </w:r>
    </w:p>
    <w:p w:rsidR="00562BED" w:rsidRDefault="00562BED" w:rsidP="00562BED">
      <w:pPr>
        <w:pStyle w:val="Quote"/>
      </w:pPr>
      <w:proofErr w:type="gramStart"/>
      <w:r>
        <w:t>Continued engagement with the stakeholders who have been involved to date.</w:t>
      </w:r>
      <w:proofErr w:type="gramEnd"/>
      <w:r>
        <w:t xml:space="preserve"> Efforts will also need to be made to identify and engage with an even broader range of interested parti</w:t>
      </w:r>
      <w:r w:rsidR="004B6AB5">
        <w:t>es</w:t>
      </w:r>
      <w:r>
        <w:t>.</w:t>
      </w:r>
    </w:p>
    <w:p w:rsidR="00562BED" w:rsidRDefault="00562BED" w:rsidP="00562BED">
      <w:pPr>
        <w:spacing w:line="360" w:lineRule="auto"/>
      </w:pPr>
    </w:p>
    <w:p w:rsidR="00F624F2" w:rsidRDefault="00F624F2">
      <w:pPr>
        <w:spacing w:before="0" w:line="240" w:lineRule="auto"/>
        <w:rPr>
          <w:rFonts w:ascii="Arial" w:hAnsi="Arial" w:cs="Tahoma"/>
          <w:sz w:val="28"/>
        </w:rPr>
      </w:pPr>
      <w:r>
        <w:br w:type="page"/>
      </w:r>
    </w:p>
    <w:p w:rsidR="00F624F2" w:rsidRPr="00FA72D1" w:rsidRDefault="00F624F2" w:rsidP="00F624F2">
      <w:pPr>
        <w:pStyle w:val="Heading1"/>
      </w:pPr>
      <w:bookmarkStart w:id="51" w:name="_Toc468885418"/>
      <w:r w:rsidRPr="00FA72D1">
        <w:lastRenderedPageBreak/>
        <w:t>Conclusion</w:t>
      </w:r>
      <w:bookmarkEnd w:id="51"/>
    </w:p>
    <w:p w:rsidR="00F624F2" w:rsidRDefault="00F624F2" w:rsidP="00F624F2">
      <w:pPr>
        <w:pStyle w:val="Text"/>
      </w:pPr>
      <w:r w:rsidRPr="008159B9">
        <w:rPr>
          <w:rFonts w:eastAsiaTheme="minorHAnsi"/>
        </w:rPr>
        <w:t xml:space="preserve">The field of </w:t>
      </w:r>
      <w:r w:rsidR="00604B05">
        <w:rPr>
          <w:rFonts w:eastAsiaTheme="minorHAnsi"/>
        </w:rPr>
        <w:t>literacy and numeracy</w:t>
      </w:r>
      <w:r w:rsidRPr="008159B9">
        <w:rPr>
          <w:rFonts w:eastAsiaTheme="minorHAnsi"/>
        </w:rPr>
        <w:t xml:space="preserve"> in Australia has undergone significant change</w:t>
      </w:r>
      <w:r w:rsidR="001837C1">
        <w:rPr>
          <w:rFonts w:eastAsiaTheme="minorHAnsi"/>
        </w:rPr>
        <w:t>,</w:t>
      </w:r>
      <w:r w:rsidRPr="008159B9">
        <w:rPr>
          <w:rFonts w:eastAsiaTheme="minorHAnsi"/>
        </w:rPr>
        <w:t xml:space="preserve"> and in recent decades</w:t>
      </w:r>
      <w:r>
        <w:rPr>
          <w:rFonts w:eastAsiaTheme="minorHAnsi"/>
        </w:rPr>
        <w:t xml:space="preserve"> </w:t>
      </w:r>
      <w:r w:rsidRPr="008159B9">
        <w:rPr>
          <w:rFonts w:eastAsiaTheme="minorHAnsi"/>
        </w:rPr>
        <w:t xml:space="preserve">practitioners have moved from being highly influential in shaping the </w:t>
      </w:r>
      <w:r w:rsidR="00604B05">
        <w:rPr>
          <w:rFonts w:eastAsiaTheme="minorHAnsi"/>
        </w:rPr>
        <w:t>literacy and numeracy</w:t>
      </w:r>
      <w:r w:rsidRPr="008159B9">
        <w:rPr>
          <w:rFonts w:eastAsiaTheme="minorHAnsi"/>
        </w:rPr>
        <w:t xml:space="preserve"> space to being almost absent as a voice in the literature.</w:t>
      </w:r>
      <w:r>
        <w:rPr>
          <w:rFonts w:eastAsiaTheme="minorHAnsi"/>
        </w:rPr>
        <w:t xml:space="preserve"> </w:t>
      </w:r>
      <w:r w:rsidRPr="008159B9">
        <w:rPr>
          <w:rFonts w:eastAsiaTheme="minorHAnsi"/>
        </w:rPr>
        <w:t xml:space="preserve">The inability of the </w:t>
      </w:r>
      <w:r w:rsidR="00604B05">
        <w:rPr>
          <w:rFonts w:eastAsiaTheme="minorHAnsi"/>
        </w:rPr>
        <w:t>literacy and numeracy</w:t>
      </w:r>
      <w:r w:rsidRPr="008159B9">
        <w:rPr>
          <w:rFonts w:eastAsiaTheme="minorHAnsi"/>
        </w:rPr>
        <w:t xml:space="preserve"> workforce to present a cohesive professional voice is, in part, a result of the sporadic and disjointed way in which </w:t>
      </w:r>
      <w:r w:rsidR="00604B05">
        <w:rPr>
          <w:rFonts w:eastAsiaTheme="minorHAnsi"/>
        </w:rPr>
        <w:t>literacy and numeracy</w:t>
      </w:r>
      <w:r w:rsidRPr="008159B9">
        <w:rPr>
          <w:rFonts w:eastAsiaTheme="minorHAnsi"/>
        </w:rPr>
        <w:t xml:space="preserve"> em</w:t>
      </w:r>
      <w:r w:rsidR="001837C1">
        <w:rPr>
          <w:rFonts w:eastAsiaTheme="minorHAnsi"/>
        </w:rPr>
        <w:t>erged as an area of education; i</w:t>
      </w:r>
      <w:r w:rsidRPr="008159B9">
        <w:rPr>
          <w:rFonts w:eastAsiaTheme="minorHAnsi"/>
        </w:rPr>
        <w:t xml:space="preserve">t is also due to the diverse nature of the workforce and workplaces in which </w:t>
      </w:r>
      <w:r w:rsidR="00604B05">
        <w:rPr>
          <w:rFonts w:eastAsiaTheme="minorHAnsi"/>
        </w:rPr>
        <w:t>literacy and numeracy</w:t>
      </w:r>
      <w:r w:rsidR="004B6AB5">
        <w:rPr>
          <w:rFonts w:eastAsiaTheme="minorHAnsi"/>
        </w:rPr>
        <w:t xml:space="preserve"> is practis</w:t>
      </w:r>
      <w:r w:rsidRPr="008159B9">
        <w:rPr>
          <w:rFonts w:eastAsiaTheme="minorHAnsi"/>
        </w:rPr>
        <w:t>ed</w:t>
      </w:r>
      <w:r w:rsidRPr="008159B9">
        <w:t xml:space="preserve">. </w:t>
      </w:r>
    </w:p>
    <w:p w:rsidR="00F624F2" w:rsidRPr="008159B9" w:rsidRDefault="00F624F2" w:rsidP="00F624F2">
      <w:pPr>
        <w:pStyle w:val="Text"/>
        <w:rPr>
          <w:rFonts w:eastAsiaTheme="minorHAnsi"/>
          <w:i/>
          <w:iCs/>
        </w:rPr>
      </w:pPr>
      <w:r w:rsidRPr="000652F1">
        <w:rPr>
          <w:rFonts w:eastAsiaTheme="minorHAnsi"/>
        </w:rPr>
        <w:t xml:space="preserve">This literature review has revealed the tensions for practice, professional development and the identity of the </w:t>
      </w:r>
      <w:r w:rsidR="00604B05">
        <w:rPr>
          <w:rFonts w:eastAsiaTheme="minorHAnsi"/>
        </w:rPr>
        <w:t>literacy and numeracy</w:t>
      </w:r>
      <w:r w:rsidRPr="000652F1">
        <w:rPr>
          <w:rFonts w:eastAsiaTheme="minorHAnsi"/>
        </w:rPr>
        <w:t xml:space="preserve"> workforce that emerge from different philosophies </w:t>
      </w:r>
      <w:r w:rsidR="001837C1">
        <w:rPr>
          <w:rFonts w:eastAsiaTheme="minorHAnsi"/>
        </w:rPr>
        <w:t>on</w:t>
      </w:r>
      <w:r w:rsidRPr="000652F1">
        <w:rPr>
          <w:rFonts w:eastAsiaTheme="minorHAnsi"/>
        </w:rPr>
        <w:t xml:space="preserve"> the contribution of adult literacy</w:t>
      </w:r>
      <w:r>
        <w:rPr>
          <w:rFonts w:eastAsiaTheme="minorHAnsi"/>
        </w:rPr>
        <w:t xml:space="preserve"> and numeracy</w:t>
      </w:r>
      <w:r w:rsidRPr="000652F1">
        <w:rPr>
          <w:rFonts w:eastAsiaTheme="minorHAnsi"/>
        </w:rPr>
        <w:t xml:space="preserve"> to economic productivity and social cohesion, and the development of the individual. </w:t>
      </w:r>
      <w:r>
        <w:rPr>
          <w:rFonts w:eastAsiaTheme="minorHAnsi"/>
        </w:rPr>
        <w:t xml:space="preserve">The concept of a </w:t>
      </w:r>
      <w:r w:rsidR="00604B05">
        <w:rPr>
          <w:rFonts w:eastAsiaTheme="minorHAnsi"/>
        </w:rPr>
        <w:t>literacy and numeracy</w:t>
      </w:r>
      <w:r>
        <w:rPr>
          <w:rFonts w:eastAsiaTheme="minorHAnsi"/>
        </w:rPr>
        <w:t xml:space="preserve"> specialist, which developed </w:t>
      </w:r>
      <w:r w:rsidR="004B6AB5">
        <w:rPr>
          <w:rFonts w:eastAsiaTheme="minorHAnsi"/>
        </w:rPr>
        <w:t xml:space="preserve">in the 1970s—1980s </w:t>
      </w:r>
      <w:r>
        <w:rPr>
          <w:rFonts w:eastAsiaTheme="minorHAnsi"/>
        </w:rPr>
        <w:t xml:space="preserve">as </w:t>
      </w:r>
      <w:r w:rsidR="004B6AB5">
        <w:rPr>
          <w:rFonts w:eastAsiaTheme="minorHAnsi"/>
        </w:rPr>
        <w:t>the</w:t>
      </w:r>
      <w:r>
        <w:rPr>
          <w:rFonts w:eastAsiaTheme="minorHAnsi"/>
        </w:rPr>
        <w:t xml:space="preserve"> result of </w:t>
      </w:r>
      <w:r w:rsidR="004B6AB5">
        <w:rPr>
          <w:rFonts w:eastAsiaTheme="minorHAnsi"/>
        </w:rPr>
        <w:t xml:space="preserve">a </w:t>
      </w:r>
      <w:r>
        <w:rPr>
          <w:rFonts w:eastAsiaTheme="minorHAnsi"/>
        </w:rPr>
        <w:t>holistic focus on the learner may become</w:t>
      </w:r>
      <w:r w:rsidRPr="00557A8F">
        <w:rPr>
          <w:rFonts w:eastAsiaTheme="minorHAnsi"/>
        </w:rPr>
        <w:t xml:space="preserve"> an historic artefact</w:t>
      </w:r>
      <w:r>
        <w:rPr>
          <w:rFonts w:eastAsiaTheme="minorHAnsi"/>
        </w:rPr>
        <w:t xml:space="preserve">. In the environment of foundation skills, increasing alignment to VET and unclear career trajectories, </w:t>
      </w:r>
      <w:r w:rsidR="00987748">
        <w:rPr>
          <w:rFonts w:eastAsiaTheme="minorHAnsi"/>
        </w:rPr>
        <w:t xml:space="preserve">literacy and numeracy </w:t>
      </w:r>
      <w:r>
        <w:rPr>
          <w:rFonts w:eastAsiaTheme="minorHAnsi"/>
        </w:rPr>
        <w:t>p</w:t>
      </w:r>
      <w:r w:rsidRPr="000652F1">
        <w:rPr>
          <w:rFonts w:eastAsiaTheme="minorHAnsi"/>
        </w:rPr>
        <w:t xml:space="preserve">ractitioners face </w:t>
      </w:r>
      <w:r w:rsidR="004B6AB5">
        <w:rPr>
          <w:rFonts w:eastAsiaTheme="minorHAnsi"/>
        </w:rPr>
        <w:t xml:space="preserve">the </w:t>
      </w:r>
      <w:r w:rsidRPr="000652F1">
        <w:rPr>
          <w:rFonts w:eastAsiaTheme="minorHAnsi"/>
        </w:rPr>
        <w:t>challenge</w:t>
      </w:r>
      <w:r>
        <w:rPr>
          <w:rFonts w:eastAsiaTheme="minorHAnsi"/>
        </w:rPr>
        <w:t>s of maintaining specialisation and</w:t>
      </w:r>
      <w:r w:rsidRPr="000652F1">
        <w:rPr>
          <w:rFonts w:eastAsiaTheme="minorHAnsi"/>
        </w:rPr>
        <w:t xml:space="preserve"> qualification levels </w:t>
      </w:r>
      <w:r>
        <w:rPr>
          <w:rFonts w:eastAsiaTheme="minorHAnsi"/>
        </w:rPr>
        <w:t>while retaining</w:t>
      </w:r>
      <w:r w:rsidRPr="000652F1">
        <w:rPr>
          <w:rFonts w:eastAsiaTheme="minorHAnsi"/>
        </w:rPr>
        <w:t xml:space="preserve"> a focus on </w:t>
      </w:r>
      <w:r>
        <w:rPr>
          <w:rFonts w:eastAsiaTheme="minorHAnsi"/>
        </w:rPr>
        <w:t xml:space="preserve">individual </w:t>
      </w:r>
      <w:r w:rsidRPr="000652F1">
        <w:rPr>
          <w:rFonts w:eastAsiaTheme="minorHAnsi"/>
        </w:rPr>
        <w:t>learner</w:t>
      </w:r>
      <w:r>
        <w:rPr>
          <w:rFonts w:eastAsiaTheme="minorHAnsi"/>
        </w:rPr>
        <w:t>s</w:t>
      </w:r>
      <w:r w:rsidRPr="000652F1">
        <w:rPr>
          <w:rFonts w:eastAsiaTheme="minorHAnsi"/>
        </w:rPr>
        <w:t xml:space="preserve">. </w:t>
      </w:r>
      <w:r>
        <w:rPr>
          <w:rFonts w:eastAsiaTheme="minorHAnsi"/>
        </w:rPr>
        <w:t xml:space="preserve">Current </w:t>
      </w:r>
      <w:r w:rsidR="00604B05">
        <w:rPr>
          <w:rFonts w:eastAsiaTheme="minorHAnsi"/>
        </w:rPr>
        <w:t>literacy and numeracy</w:t>
      </w:r>
      <w:r>
        <w:rPr>
          <w:rFonts w:eastAsiaTheme="minorHAnsi"/>
        </w:rPr>
        <w:t xml:space="preserve"> practitioners need to teach across multiple skill areas, meet multiple stakeholder needs for multiple contexts, function effectively under changeable funding conditions and develop new skills associated with emerging technologies. Research suggests </w:t>
      </w:r>
      <w:r w:rsidR="00604B05">
        <w:rPr>
          <w:rFonts w:eastAsiaTheme="minorHAnsi"/>
        </w:rPr>
        <w:t>literacy and numeracy</w:t>
      </w:r>
      <w:r>
        <w:rPr>
          <w:rFonts w:eastAsiaTheme="minorHAnsi"/>
        </w:rPr>
        <w:t xml:space="preserve"> practitioners already have the skills to achieve these outcomes: the historic perspect</w:t>
      </w:r>
      <w:r w:rsidR="001837C1">
        <w:rPr>
          <w:rFonts w:eastAsiaTheme="minorHAnsi"/>
        </w:rPr>
        <w:t>ive and current research reveal</w:t>
      </w:r>
      <w:r>
        <w:rPr>
          <w:rFonts w:eastAsiaTheme="minorHAnsi"/>
        </w:rPr>
        <w:t xml:space="preserve"> a workforce that has changed in the course of five decades but has always maintained a strong learner focus, regardless of their context or nomenclature. </w:t>
      </w:r>
    </w:p>
    <w:p w:rsidR="00A106C0" w:rsidRDefault="00A106C0">
      <w:pPr>
        <w:spacing w:before="0" w:line="240" w:lineRule="auto"/>
        <w:rPr>
          <w:rFonts w:ascii="Arial" w:hAnsi="Arial" w:cs="Tahoma"/>
          <w:sz w:val="28"/>
        </w:rPr>
      </w:pPr>
      <w:r>
        <w:br w:type="page"/>
      </w:r>
    </w:p>
    <w:p w:rsidR="00324917" w:rsidRDefault="00324917" w:rsidP="00324917">
      <w:pPr>
        <w:pStyle w:val="Heading1"/>
      </w:pPr>
      <w:bookmarkStart w:id="52" w:name="_Toc456000800"/>
      <w:bookmarkStart w:id="53" w:name="_Toc457122465"/>
      <w:bookmarkStart w:id="54" w:name="_Toc188077643"/>
      <w:bookmarkStart w:id="55" w:name="_Toc275543018"/>
      <w:bookmarkStart w:id="56" w:name="_Toc468885419"/>
      <w:bookmarkEnd w:id="27"/>
      <w:bookmarkEnd w:id="28"/>
      <w:r>
        <w:lastRenderedPageBreak/>
        <w:t>References</w:t>
      </w:r>
      <w:bookmarkEnd w:id="52"/>
      <w:bookmarkEnd w:id="53"/>
      <w:bookmarkEnd w:id="54"/>
      <w:bookmarkEnd w:id="55"/>
      <w:bookmarkEnd w:id="56"/>
      <w:r>
        <w:t xml:space="preserve"> </w:t>
      </w:r>
    </w:p>
    <w:p w:rsidR="00EB17CA" w:rsidRPr="00401D60" w:rsidRDefault="00EB17CA" w:rsidP="00EB17CA">
      <w:pPr>
        <w:pStyle w:val="References"/>
      </w:pPr>
      <w:bookmarkStart w:id="57" w:name="_Toc275543019"/>
      <w:r>
        <w:t>ABS (</w:t>
      </w:r>
      <w:r w:rsidRPr="00401D60">
        <w:t>Australian Bureau of Statistics</w:t>
      </w:r>
      <w:r>
        <w:t>)</w:t>
      </w:r>
      <w:r w:rsidRPr="00401D60">
        <w:t xml:space="preserve"> 1997, </w:t>
      </w:r>
      <w:r w:rsidRPr="00604B05">
        <w:rPr>
          <w:i/>
        </w:rPr>
        <w:t>Aspects of Literacy: Assessed Skill Levels, Australia</w:t>
      </w:r>
      <w:r w:rsidRPr="00401D60">
        <w:t>, viewed January 2016, &lt;</w:t>
      </w:r>
      <w:hyperlink r:id="rId23" w:history="1">
        <w:r w:rsidRPr="00401D60">
          <w:t>http://www.abs.gov.au/AUSSTATS/abs@.nsf/allprimarymainfeatures/59E271C8DE37A1D2CA2573A00011431F?opendocument</w:t>
        </w:r>
      </w:hyperlink>
      <w:r w:rsidRPr="00401D60">
        <w:t>&gt;</w:t>
      </w:r>
      <w:r>
        <w:t>.</w:t>
      </w:r>
    </w:p>
    <w:p w:rsidR="00A106C0" w:rsidRPr="00401D60" w:rsidRDefault="00D148B8" w:rsidP="00A106C0">
      <w:pPr>
        <w:pStyle w:val="References"/>
      </w:pPr>
      <w:r>
        <w:t>ACIL</w:t>
      </w:r>
      <w:r w:rsidR="003155B8">
        <w:t xml:space="preserve"> Allen Consulting 2015, </w:t>
      </w:r>
      <w:r w:rsidR="00A106C0" w:rsidRPr="003155B8">
        <w:rPr>
          <w:i/>
        </w:rPr>
        <w:t>The AMEP and</w:t>
      </w:r>
      <w:r w:rsidR="003155B8" w:rsidRPr="003155B8">
        <w:rPr>
          <w:i/>
        </w:rPr>
        <w:t xml:space="preserve"> SEE Programme alignment report</w:t>
      </w:r>
      <w:r w:rsidR="00A106C0" w:rsidRPr="00401D60">
        <w:t>, for the Department of Education and Training, Melbourne, viewed May 2016</w:t>
      </w:r>
      <w:r w:rsidR="004B6AB5">
        <w:t>,</w:t>
      </w:r>
      <w:r w:rsidR="00A106C0" w:rsidRPr="00401D60">
        <w:t xml:space="preserve"> </w:t>
      </w:r>
      <w:r w:rsidR="004B6AB5">
        <w:t>&lt;</w:t>
      </w:r>
      <w:hyperlink r:id="rId24" w:history="1">
        <w:r w:rsidR="00A106C0" w:rsidRPr="00401D60">
          <w:t>https://docs.education.gov.au/system/files/doc/other/see-amep_alignment_report.pdf</w:t>
        </w:r>
      </w:hyperlink>
      <w:r w:rsidR="004B6AB5">
        <w:t>&gt;.</w:t>
      </w:r>
    </w:p>
    <w:p w:rsidR="00A106C0" w:rsidRPr="00401D60" w:rsidRDefault="00A106C0" w:rsidP="00A106C0">
      <w:pPr>
        <w:pStyle w:val="References"/>
      </w:pPr>
      <w:proofErr w:type="spellStart"/>
      <w:r w:rsidRPr="00401D60">
        <w:t>Ackland</w:t>
      </w:r>
      <w:proofErr w:type="spellEnd"/>
      <w:r w:rsidRPr="00401D60">
        <w:t>, A 2011, ‘</w:t>
      </w:r>
      <w:proofErr w:type="gramStart"/>
      <w:r w:rsidRPr="00401D60">
        <w:t>The</w:t>
      </w:r>
      <w:proofErr w:type="gramEnd"/>
      <w:r w:rsidRPr="00401D60">
        <w:t xml:space="preserve"> eye of the storm: discursive power and resistance in the development of a professional qualification for adult literacies practitioners in Scotland’, </w:t>
      </w:r>
      <w:r w:rsidRPr="00604B05">
        <w:rPr>
          <w:i/>
        </w:rPr>
        <w:t xml:space="preserve">European Journal for Research on the Education and Learning of Adults, </w:t>
      </w:r>
      <w:r w:rsidRPr="004B6AB5">
        <w:t>vol.2</w:t>
      </w:r>
      <w:r w:rsidR="004B6AB5">
        <w:t>, no.1, pp.57—</w:t>
      </w:r>
      <w:r w:rsidRPr="00401D60">
        <w:t>73</w:t>
      </w:r>
      <w:r w:rsidR="004C0627">
        <w:t>.</w:t>
      </w:r>
    </w:p>
    <w:p w:rsidR="00A106C0" w:rsidRPr="00401D60" w:rsidRDefault="00A106C0" w:rsidP="00A106C0">
      <w:pPr>
        <w:pStyle w:val="References"/>
      </w:pPr>
      <w:r w:rsidRPr="00401D60">
        <w:t xml:space="preserve">Australian Government Productivity Commission 2011, </w:t>
      </w:r>
      <w:r w:rsidRPr="00604B05">
        <w:rPr>
          <w:i/>
        </w:rPr>
        <w:t xml:space="preserve">Vocational </w:t>
      </w:r>
      <w:r w:rsidR="004B6AB5" w:rsidRPr="00604B05">
        <w:rPr>
          <w:i/>
        </w:rPr>
        <w:t>education and training workforc</w:t>
      </w:r>
      <w:r w:rsidRPr="00604B05">
        <w:rPr>
          <w:i/>
        </w:rPr>
        <w:t>e</w:t>
      </w:r>
      <w:r w:rsidRPr="00401D60">
        <w:t>, Pr</w:t>
      </w:r>
      <w:r w:rsidR="004B6AB5">
        <w:t>oductivity Commission Research r</w:t>
      </w:r>
      <w:r w:rsidRPr="00401D60">
        <w:t>eport, viewed December 201</w:t>
      </w:r>
      <w:r w:rsidR="004B6AB5">
        <w:t>5</w:t>
      </w:r>
      <w:r w:rsidRPr="00401D60">
        <w:t>,</w:t>
      </w:r>
      <w:r w:rsidR="00141842">
        <w:t xml:space="preserve">   </w:t>
      </w:r>
      <w:r w:rsidRPr="00401D60">
        <w:t xml:space="preserve"> &lt;http://www.pc.gov.au/inquiries/completed/education-workforce-vocational/report&gt;.</w:t>
      </w:r>
    </w:p>
    <w:p w:rsidR="00A106C0" w:rsidRPr="00401D60" w:rsidRDefault="00D148B8" w:rsidP="00A106C0">
      <w:pPr>
        <w:pStyle w:val="References"/>
      </w:pPr>
      <w:r>
        <w:t>Australian Industry</w:t>
      </w:r>
      <w:r w:rsidR="00604B05">
        <w:t xml:space="preserve"> Group 2013, </w:t>
      </w:r>
      <w:proofErr w:type="gramStart"/>
      <w:r w:rsidR="00604B05" w:rsidRPr="00604B05">
        <w:rPr>
          <w:i/>
        </w:rPr>
        <w:t>Getting</w:t>
      </w:r>
      <w:proofErr w:type="gramEnd"/>
      <w:r w:rsidR="00604B05" w:rsidRPr="00604B05">
        <w:rPr>
          <w:i/>
        </w:rPr>
        <w:t xml:space="preserve"> it right: f</w:t>
      </w:r>
      <w:r w:rsidR="00A106C0" w:rsidRPr="00604B05">
        <w:rPr>
          <w:i/>
        </w:rPr>
        <w:t>oundation skills for the workforce</w:t>
      </w:r>
      <w:r w:rsidR="00A106C0" w:rsidRPr="00401D60">
        <w:t>, Austra</w:t>
      </w:r>
      <w:r w:rsidR="00FE361D">
        <w:t xml:space="preserve">lian Industries Group, viewed </w:t>
      </w:r>
      <w:r w:rsidR="00A106C0" w:rsidRPr="00401D60">
        <w:t xml:space="preserve">May 2016, &lt;http://www.innovation.gov.au/Skills/LiteracyAndNumeracy/LanguageLiteracyAndNumeracyPractitionerScholarshipsProgram/Pages/default.aspx&gt; </w:t>
      </w:r>
    </w:p>
    <w:p w:rsidR="00A106C0" w:rsidRPr="00401D60" w:rsidRDefault="00D148B8" w:rsidP="00A106C0">
      <w:pPr>
        <w:pStyle w:val="References"/>
      </w:pPr>
      <w:proofErr w:type="gramStart"/>
      <w:r>
        <w:t>——</w:t>
      </w:r>
      <w:r w:rsidR="00A106C0" w:rsidRPr="00401D60">
        <w:t xml:space="preserve">2016, </w:t>
      </w:r>
      <w:r w:rsidR="00A106C0" w:rsidRPr="00604B05">
        <w:rPr>
          <w:i/>
        </w:rPr>
        <w:t>Tackling foundation skills in the workforce</w:t>
      </w:r>
      <w:r>
        <w:t>, Australian Industry</w:t>
      </w:r>
      <w:r w:rsidR="00A106C0" w:rsidRPr="00401D60">
        <w:t xml:space="preserve"> Group, viewed February 2016</w:t>
      </w:r>
      <w:r>
        <w:t>, &lt;</w:t>
      </w:r>
      <w:r w:rsidRPr="00D148B8">
        <w:t>http://cdn.aigroup.com.au/Reports/2016/AIG9675_EMAIL.pdf</w:t>
      </w:r>
      <w:r w:rsidR="00A106C0" w:rsidRPr="00401D60">
        <w:t>&gt;.</w:t>
      </w:r>
      <w:proofErr w:type="gramEnd"/>
    </w:p>
    <w:p w:rsidR="00A106C0" w:rsidRPr="00401D60" w:rsidRDefault="00A106C0" w:rsidP="00A106C0">
      <w:pPr>
        <w:pStyle w:val="References"/>
      </w:pPr>
      <w:proofErr w:type="spellStart"/>
      <w:r w:rsidRPr="00401D60">
        <w:t>Bak</w:t>
      </w:r>
      <w:proofErr w:type="spellEnd"/>
      <w:r w:rsidRPr="00401D60">
        <w:t xml:space="preserve">, T &amp; </w:t>
      </w:r>
      <w:proofErr w:type="spellStart"/>
      <w:r w:rsidRPr="00401D60">
        <w:t>O’Maley</w:t>
      </w:r>
      <w:proofErr w:type="spellEnd"/>
      <w:r w:rsidRPr="00401D60">
        <w:t xml:space="preserve">, P 2015, 'Towards professional responsibility for language and literacy: exploring vocational teachers’ emerging language and literacy understandings and identities', </w:t>
      </w:r>
      <w:r w:rsidRPr="00604B05">
        <w:rPr>
          <w:i/>
        </w:rPr>
        <w:t xml:space="preserve">Literacy and Numeracy Studies, </w:t>
      </w:r>
      <w:r w:rsidRPr="004B6AB5">
        <w:t>vol.23</w:t>
      </w:r>
      <w:r w:rsidR="004B6AB5">
        <w:t>, no.1, pp.50—</w:t>
      </w:r>
      <w:r w:rsidR="00FE361D">
        <w:t>72</w:t>
      </w:r>
      <w:r w:rsidR="004C0627">
        <w:t>.</w:t>
      </w:r>
    </w:p>
    <w:p w:rsidR="00A106C0" w:rsidRPr="00401D60" w:rsidRDefault="00A106C0" w:rsidP="00A106C0">
      <w:pPr>
        <w:pStyle w:val="References"/>
      </w:pPr>
      <w:proofErr w:type="spellStart"/>
      <w:r w:rsidRPr="00401D60">
        <w:t>Balatti</w:t>
      </w:r>
      <w:proofErr w:type="spellEnd"/>
      <w:r w:rsidRPr="00401D60">
        <w:t xml:space="preserve">, J, Black, S &amp; Falk, I 2006, </w:t>
      </w:r>
      <w:r w:rsidRPr="00604B05">
        <w:rPr>
          <w:i/>
        </w:rPr>
        <w:t>Reframing adult literacy and numeracy course outcomes: a social capital perspective</w:t>
      </w:r>
      <w:r w:rsidRPr="00401D60">
        <w:t>, NCVER, Adelaide</w:t>
      </w:r>
      <w:r w:rsidR="00FE361D">
        <w:t>.</w:t>
      </w:r>
    </w:p>
    <w:p w:rsidR="00A106C0" w:rsidRPr="00401D60" w:rsidRDefault="00A106C0" w:rsidP="00A106C0">
      <w:pPr>
        <w:pStyle w:val="References"/>
      </w:pPr>
      <w:proofErr w:type="gramStart"/>
      <w:r w:rsidRPr="00401D60">
        <w:t xml:space="preserve">Barton, D 2008, ‘Researching adult learner's lives to understand engagement and progression in learning’, </w:t>
      </w:r>
      <w:r w:rsidRPr="00604B05">
        <w:rPr>
          <w:i/>
        </w:rPr>
        <w:t xml:space="preserve">Literacy and Numeracy Studies, </w:t>
      </w:r>
      <w:r w:rsidRPr="004B6AB5">
        <w:t>vol.16 &amp; 17</w:t>
      </w:r>
      <w:r w:rsidR="004B6AB5">
        <w:t>, no.1, pp.51—</w:t>
      </w:r>
      <w:r w:rsidRPr="00401D60">
        <w:t>62.</w:t>
      </w:r>
      <w:proofErr w:type="gramEnd"/>
    </w:p>
    <w:p w:rsidR="00A106C0" w:rsidRPr="00401D60" w:rsidRDefault="00FE63B3" w:rsidP="00A106C0">
      <w:pPr>
        <w:pStyle w:val="References"/>
      </w:pPr>
      <w:proofErr w:type="spellStart"/>
      <w:r>
        <w:t>Belzer</w:t>
      </w:r>
      <w:proofErr w:type="spellEnd"/>
      <w:r>
        <w:t>, A 2005,</w:t>
      </w:r>
      <w:r w:rsidR="00A106C0" w:rsidRPr="00401D60">
        <w:t xml:space="preserve"> </w:t>
      </w:r>
      <w:r>
        <w:t>‘</w:t>
      </w:r>
      <w:r w:rsidR="00A106C0" w:rsidRPr="00401D60">
        <w:t xml:space="preserve">Improving professional development systems: recommendations from the Pennsylvania adult basic and literacy education professional development system evaluation’, </w:t>
      </w:r>
      <w:r w:rsidR="00A106C0" w:rsidRPr="00FE63B3">
        <w:rPr>
          <w:i/>
        </w:rPr>
        <w:t xml:space="preserve">Adult Basic Education, </w:t>
      </w:r>
      <w:r w:rsidR="00A106C0" w:rsidRPr="004B6AB5">
        <w:t>vol.15</w:t>
      </w:r>
      <w:r w:rsidR="004B6AB5">
        <w:t>, no.1, pp.33—</w:t>
      </w:r>
      <w:r w:rsidR="00A106C0" w:rsidRPr="00401D60">
        <w:t>55.</w:t>
      </w:r>
    </w:p>
    <w:p w:rsidR="00A106C0" w:rsidRPr="00401D60" w:rsidRDefault="00A106C0" w:rsidP="00A106C0">
      <w:pPr>
        <w:pStyle w:val="References"/>
      </w:pPr>
      <w:proofErr w:type="spellStart"/>
      <w:proofErr w:type="gramStart"/>
      <w:r w:rsidRPr="00401D60">
        <w:t>Benseman</w:t>
      </w:r>
      <w:proofErr w:type="spellEnd"/>
      <w:r w:rsidRPr="00401D60">
        <w:t xml:space="preserve">, J 2014, 'Practitioners’ perspectives on the value of a national adult literacy and numeracy qualification', </w:t>
      </w:r>
      <w:r w:rsidRPr="00FE63B3">
        <w:rPr>
          <w:i/>
        </w:rPr>
        <w:t xml:space="preserve">New Zealand Journal of Teachers’ Work, </w:t>
      </w:r>
      <w:r w:rsidRPr="004B6AB5">
        <w:t>vol.11</w:t>
      </w:r>
      <w:r w:rsidR="004B6AB5">
        <w:t>, no.1, pp.107—</w:t>
      </w:r>
      <w:r w:rsidR="004C0627">
        <w:t>26.</w:t>
      </w:r>
      <w:proofErr w:type="gramEnd"/>
    </w:p>
    <w:p w:rsidR="00A106C0" w:rsidRPr="00401D60" w:rsidRDefault="00A106C0" w:rsidP="00A106C0">
      <w:pPr>
        <w:pStyle w:val="References"/>
      </w:pPr>
      <w:proofErr w:type="spellStart"/>
      <w:r w:rsidRPr="00401D60">
        <w:t>Benseman</w:t>
      </w:r>
      <w:proofErr w:type="spellEnd"/>
      <w:r w:rsidRPr="00401D60">
        <w:t xml:space="preserve">, J, Sutton, A &amp; Lander, J 2005, </w:t>
      </w:r>
      <w:r w:rsidRPr="00FE63B3">
        <w:rPr>
          <w:i/>
        </w:rPr>
        <w:t xml:space="preserve">Working in the light of evidence, as well as aspiration: </w:t>
      </w:r>
      <w:r w:rsidR="004B6AB5">
        <w:rPr>
          <w:i/>
        </w:rPr>
        <w:t>a</w:t>
      </w:r>
      <w:r w:rsidRPr="00FE63B3">
        <w:rPr>
          <w:i/>
        </w:rPr>
        <w:t xml:space="preserve"> literature review of the best available evidence about effective adult literacy, numeracy and language teaching</w:t>
      </w:r>
      <w:r w:rsidRPr="00401D60">
        <w:t xml:space="preserve">, </w:t>
      </w:r>
      <w:r w:rsidR="00FE361D">
        <w:t>v</w:t>
      </w:r>
      <w:r w:rsidRPr="00401D60">
        <w:t>iewed January 2016, &lt;</w:t>
      </w:r>
      <w:hyperlink r:id="rId25" w:history="1">
        <w:r w:rsidRPr="00401D60">
          <w:t>http://www.educationcounts.govt.nz/publications/tertiary_education/27773/5727</w:t>
        </w:r>
      </w:hyperlink>
      <w:r w:rsidRPr="00401D60">
        <w:t>&gt;</w:t>
      </w:r>
      <w:r w:rsidR="00FE361D">
        <w:t xml:space="preserve">, </w:t>
      </w:r>
      <w:r w:rsidR="00FE361D" w:rsidRPr="00401D60">
        <w:t>Ministry of Education, Auckland</w:t>
      </w:r>
      <w:r w:rsidR="00FE361D">
        <w:t>.</w:t>
      </w:r>
    </w:p>
    <w:p w:rsidR="00A106C0" w:rsidRPr="00401D60" w:rsidRDefault="00A106C0" w:rsidP="00A106C0">
      <w:pPr>
        <w:pStyle w:val="References"/>
      </w:pPr>
      <w:proofErr w:type="spellStart"/>
      <w:proofErr w:type="gramStart"/>
      <w:r w:rsidRPr="00401D60">
        <w:t>Berghella</w:t>
      </w:r>
      <w:proofErr w:type="spellEnd"/>
      <w:r w:rsidRPr="00401D60">
        <w:t xml:space="preserve">, T &amp; </w:t>
      </w:r>
      <w:proofErr w:type="spellStart"/>
      <w:r w:rsidRPr="00401D60">
        <w:t>Molenaar</w:t>
      </w:r>
      <w:proofErr w:type="spellEnd"/>
      <w:r w:rsidRPr="00401D60">
        <w:t xml:space="preserve">, O 2013, </w:t>
      </w:r>
      <w:r w:rsidRPr="00604B05">
        <w:rPr>
          <w:i/>
        </w:rPr>
        <w:t>Seeking the N in LLN</w:t>
      </w:r>
      <w:r w:rsidRPr="00401D60">
        <w:t>, NCVER, Adelaide</w:t>
      </w:r>
      <w:r w:rsidR="00FE361D">
        <w:t>.</w:t>
      </w:r>
      <w:proofErr w:type="gramEnd"/>
    </w:p>
    <w:p w:rsidR="00A106C0" w:rsidRPr="00401D60" w:rsidRDefault="00A106C0" w:rsidP="00A106C0">
      <w:pPr>
        <w:pStyle w:val="References"/>
      </w:pPr>
      <w:proofErr w:type="spellStart"/>
      <w:r w:rsidRPr="00401D60">
        <w:t>Berghella</w:t>
      </w:r>
      <w:proofErr w:type="spellEnd"/>
      <w:r w:rsidRPr="00401D60">
        <w:t>,</w:t>
      </w:r>
      <w:r w:rsidR="001837C1">
        <w:t xml:space="preserve"> </w:t>
      </w:r>
      <w:r w:rsidRPr="00401D60">
        <w:t>T</w:t>
      </w:r>
      <w:r w:rsidR="004A65CA">
        <w:t xml:space="preserve"> </w:t>
      </w:r>
      <w:proofErr w:type="spellStart"/>
      <w:r w:rsidRPr="00401D60">
        <w:t>Molenaar</w:t>
      </w:r>
      <w:proofErr w:type="spellEnd"/>
      <w:r w:rsidR="004B6AB5">
        <w:t>,</w:t>
      </w:r>
      <w:r w:rsidRPr="00401D60">
        <w:t xml:space="preserve"> J &amp; Wyse L</w:t>
      </w:r>
      <w:r w:rsidR="004A65CA">
        <w:t xml:space="preserve"> </w:t>
      </w:r>
      <w:r w:rsidRPr="00401D60">
        <w:t xml:space="preserve">2006, </w:t>
      </w:r>
      <w:r w:rsidRPr="00FE63B3">
        <w:rPr>
          <w:i/>
        </w:rPr>
        <w:t>The professional development requirements of Workplace English Language and Literacy Programme Practitioners</w:t>
      </w:r>
      <w:r w:rsidRPr="00401D60">
        <w:t>, NCVER, Adelaide.</w:t>
      </w:r>
    </w:p>
    <w:p w:rsidR="00A106C0" w:rsidRPr="00401D60" w:rsidRDefault="00A106C0" w:rsidP="00A106C0">
      <w:pPr>
        <w:pStyle w:val="References"/>
      </w:pPr>
      <w:r w:rsidRPr="00401D60">
        <w:t xml:space="preserve">Black, S 2010, ‘Working the interstices: adult basic education teachers respond to the audit culture’, </w:t>
      </w:r>
      <w:r w:rsidRPr="00FE63B3">
        <w:rPr>
          <w:i/>
        </w:rPr>
        <w:t xml:space="preserve">Literacy and Numeracy Studies, </w:t>
      </w:r>
      <w:r w:rsidRPr="004B6AB5">
        <w:t>vol.18,</w:t>
      </w:r>
      <w:r w:rsidRPr="00401D60">
        <w:t xml:space="preserve"> no.2, </w:t>
      </w:r>
      <w:r w:rsidR="004C0627">
        <w:t>pp.6-25.</w:t>
      </w:r>
    </w:p>
    <w:p w:rsidR="00A106C0" w:rsidRPr="00401D60" w:rsidRDefault="00A106C0" w:rsidP="00A106C0">
      <w:pPr>
        <w:pStyle w:val="References"/>
      </w:pPr>
      <w:r w:rsidRPr="00401D60">
        <w:t xml:space="preserve">Black, S &amp; Yasukawa, K 2010, ‘Time for national renewal: Australian adult literacy and numeracy as ‘foundation skills’’, </w:t>
      </w:r>
      <w:r w:rsidRPr="00FE63B3">
        <w:rPr>
          <w:i/>
        </w:rPr>
        <w:t>Literacy and Numeracy Studies, vol.18</w:t>
      </w:r>
      <w:r w:rsidRPr="00401D60">
        <w:t>, no.2, pp.43</w:t>
      </w:r>
      <w:r w:rsidR="00247DF8">
        <w:t>—</w:t>
      </w:r>
      <w:r w:rsidRPr="00401D60">
        <w:t>57</w:t>
      </w:r>
      <w:r w:rsidR="004C0627">
        <w:t>.</w:t>
      </w:r>
    </w:p>
    <w:p w:rsidR="00A106C0" w:rsidRPr="00401D60" w:rsidRDefault="00D148B8" w:rsidP="00A106C0">
      <w:pPr>
        <w:pStyle w:val="References"/>
      </w:pPr>
      <w:r>
        <w:t>——</w:t>
      </w:r>
      <w:r w:rsidR="00A106C0" w:rsidRPr="00401D60">
        <w:t xml:space="preserve">2013, ‘Disturbing the </w:t>
      </w:r>
      <w:r w:rsidR="004B6AB5" w:rsidRPr="00401D60">
        <w:t>pedagogical status quo</w:t>
      </w:r>
      <w:r w:rsidR="00A106C0" w:rsidRPr="00401D60">
        <w:t>: LLN and vocational teachers working together’, </w:t>
      </w:r>
      <w:r w:rsidR="00A106C0" w:rsidRPr="00FE63B3">
        <w:rPr>
          <w:i/>
        </w:rPr>
        <w:t>Pedagogies: An International Journal, </w:t>
      </w:r>
      <w:r w:rsidR="00A106C0" w:rsidRPr="004B6AB5">
        <w:t>vol.8,</w:t>
      </w:r>
      <w:r w:rsidR="004B6AB5">
        <w:t xml:space="preserve"> no.1, pp.44—</w:t>
      </w:r>
      <w:r w:rsidR="00A106C0" w:rsidRPr="00401D60">
        <w:t>59.</w:t>
      </w:r>
    </w:p>
    <w:p w:rsidR="00A106C0" w:rsidRPr="00401D60" w:rsidRDefault="00D148B8" w:rsidP="00A106C0">
      <w:pPr>
        <w:pStyle w:val="References"/>
      </w:pPr>
      <w:r>
        <w:t>——</w:t>
      </w:r>
      <w:r w:rsidR="00A106C0" w:rsidRPr="00401D60">
        <w:t>2014, ‘</w:t>
      </w:r>
      <w:proofErr w:type="gramStart"/>
      <w:r w:rsidR="00A106C0" w:rsidRPr="00401D60">
        <w:t>The</w:t>
      </w:r>
      <w:proofErr w:type="gramEnd"/>
      <w:r w:rsidR="00A106C0" w:rsidRPr="00401D60">
        <w:t xml:space="preserve"> literacy myth continues: adapting Graff’s thesis to contempor</w:t>
      </w:r>
      <w:r w:rsidR="00EB17CA">
        <w:t>ary policy discourses on adult “foundation skills”</w:t>
      </w:r>
      <w:r w:rsidR="00A106C0" w:rsidRPr="00401D60">
        <w:t xml:space="preserve"> in Australia’, </w:t>
      </w:r>
      <w:r w:rsidR="00A106C0" w:rsidRPr="00FE63B3">
        <w:rPr>
          <w:i/>
        </w:rPr>
        <w:t xml:space="preserve">Critical Studies in Education, </w:t>
      </w:r>
      <w:r w:rsidR="00A106C0" w:rsidRPr="004B6AB5">
        <w:t>vol.55</w:t>
      </w:r>
      <w:r w:rsidR="00A106C0" w:rsidRPr="00FE63B3">
        <w:rPr>
          <w:i/>
        </w:rPr>
        <w:t>,</w:t>
      </w:r>
      <w:r w:rsidR="004B6AB5">
        <w:t xml:space="preserve"> no.2, pp.213—</w:t>
      </w:r>
      <w:r w:rsidR="004C0627">
        <w:t>28.</w:t>
      </w:r>
    </w:p>
    <w:p w:rsidR="004B6AB5" w:rsidRPr="00401D60" w:rsidRDefault="004B6AB5" w:rsidP="004B6AB5">
      <w:pPr>
        <w:pStyle w:val="References"/>
      </w:pPr>
      <w:proofErr w:type="spellStart"/>
      <w:r w:rsidRPr="00401D60">
        <w:t>Boughton</w:t>
      </w:r>
      <w:proofErr w:type="spellEnd"/>
      <w:r w:rsidRPr="00401D60">
        <w:t xml:space="preserve">, B &amp; </w:t>
      </w:r>
      <w:proofErr w:type="spellStart"/>
      <w:r w:rsidRPr="00401D60">
        <w:t>Durnan</w:t>
      </w:r>
      <w:proofErr w:type="spellEnd"/>
      <w:r w:rsidRPr="00401D60">
        <w:t xml:space="preserve">, D 2014, ‘Cuba’s </w:t>
      </w:r>
      <w:proofErr w:type="spellStart"/>
      <w:r w:rsidRPr="00401D60">
        <w:t>Yo</w:t>
      </w:r>
      <w:proofErr w:type="spellEnd"/>
      <w:r w:rsidRPr="00401D60">
        <w:t xml:space="preserve">, </w:t>
      </w:r>
      <w:proofErr w:type="spellStart"/>
      <w:r w:rsidRPr="00401D60">
        <w:t>Sí</w:t>
      </w:r>
      <w:proofErr w:type="spellEnd"/>
      <w:r w:rsidRPr="00401D60">
        <w:t xml:space="preserve"> </w:t>
      </w:r>
      <w:proofErr w:type="spellStart"/>
      <w:r w:rsidRPr="00401D60">
        <w:t>Puedo</w:t>
      </w:r>
      <w:proofErr w:type="spellEnd"/>
      <w:r w:rsidRPr="00401D60">
        <w:t xml:space="preserve">: a global literacy movement?’ </w:t>
      </w:r>
      <w:r w:rsidRPr="00FE63B3">
        <w:rPr>
          <w:i/>
        </w:rPr>
        <w:t xml:space="preserve">Postcolonial Directions in Education Special Issue: Adult Literacy and Adult Education, </w:t>
      </w:r>
      <w:r w:rsidRPr="004B6AB5">
        <w:t>vol.3</w:t>
      </w:r>
      <w:r>
        <w:t>, no.2, pp.325—</w:t>
      </w:r>
      <w:r w:rsidR="004C0627">
        <w:t>59.</w:t>
      </w:r>
    </w:p>
    <w:p w:rsidR="00A106C0" w:rsidRPr="00401D60" w:rsidRDefault="00A106C0" w:rsidP="00A106C0">
      <w:pPr>
        <w:pStyle w:val="References"/>
      </w:pPr>
      <w:proofErr w:type="spellStart"/>
      <w:r w:rsidRPr="00401D60">
        <w:t>Boughton</w:t>
      </w:r>
      <w:proofErr w:type="spellEnd"/>
      <w:r w:rsidRPr="00401D60">
        <w:t xml:space="preserve">, B, </w:t>
      </w:r>
      <w:proofErr w:type="spellStart"/>
      <w:r w:rsidRPr="00401D60">
        <w:t>Beetson</w:t>
      </w:r>
      <w:proofErr w:type="spellEnd"/>
      <w:r w:rsidRPr="00401D60">
        <w:t xml:space="preserve">, J, </w:t>
      </w:r>
      <w:proofErr w:type="spellStart"/>
      <w:r w:rsidRPr="00401D60">
        <w:t>Durnan</w:t>
      </w:r>
      <w:proofErr w:type="spellEnd"/>
      <w:r w:rsidRPr="00401D60">
        <w:t xml:space="preserve">, D, Bartlett, B &amp; Smith, </w:t>
      </w:r>
      <w:proofErr w:type="gramStart"/>
      <w:r w:rsidRPr="00401D60">
        <w:t>S</w:t>
      </w:r>
      <w:proofErr w:type="gramEnd"/>
      <w:r w:rsidRPr="00401D60">
        <w:t xml:space="preserve"> 2014, </w:t>
      </w:r>
      <w:r w:rsidRPr="00FE63B3">
        <w:rPr>
          <w:i/>
        </w:rPr>
        <w:t>Aboriginal adult literacy campaign: stage two pilot final evaluation report</w:t>
      </w:r>
      <w:r w:rsidRPr="00401D60">
        <w:t>, University of New England, Armidale.</w:t>
      </w:r>
    </w:p>
    <w:p w:rsidR="00A106C0" w:rsidRPr="00401D60" w:rsidRDefault="00A106C0" w:rsidP="00A106C0">
      <w:pPr>
        <w:pStyle w:val="References"/>
      </w:pPr>
      <w:proofErr w:type="gramStart"/>
      <w:r w:rsidRPr="00401D60">
        <w:t xml:space="preserve">Brennan, B, Clark, R &amp; </w:t>
      </w:r>
      <w:proofErr w:type="spellStart"/>
      <w:r w:rsidRPr="00401D60">
        <w:t>Dymock</w:t>
      </w:r>
      <w:proofErr w:type="spellEnd"/>
      <w:r w:rsidRPr="00401D60">
        <w:t xml:space="preserve">, D 1989, </w:t>
      </w:r>
      <w:r w:rsidRPr="00FE63B3">
        <w:rPr>
          <w:i/>
        </w:rPr>
        <w:t>Outcomes of adult literacy programs</w:t>
      </w:r>
      <w:r w:rsidRPr="00401D60">
        <w:t>, University of New England, Armidale.</w:t>
      </w:r>
      <w:proofErr w:type="gramEnd"/>
    </w:p>
    <w:p w:rsidR="00A106C0" w:rsidRPr="00401D60" w:rsidRDefault="00A106C0" w:rsidP="00A106C0">
      <w:pPr>
        <w:pStyle w:val="References"/>
      </w:pPr>
      <w:r w:rsidRPr="00401D60">
        <w:t xml:space="preserve">Brooks, G, Burton, M, Cole, P &amp; </w:t>
      </w:r>
      <w:proofErr w:type="spellStart"/>
      <w:r w:rsidRPr="00401D60">
        <w:t>Szczerbinski</w:t>
      </w:r>
      <w:proofErr w:type="spellEnd"/>
      <w:r w:rsidRPr="00401D60">
        <w:t>, M</w:t>
      </w:r>
      <w:r w:rsidR="004A65CA">
        <w:t xml:space="preserve"> </w:t>
      </w:r>
      <w:r w:rsidRPr="00401D60">
        <w:t xml:space="preserve">2007, </w:t>
      </w:r>
      <w:r w:rsidRPr="00FE63B3">
        <w:rPr>
          <w:i/>
        </w:rPr>
        <w:t>Effective teaching and learning</w:t>
      </w:r>
      <w:r w:rsidR="00132932">
        <w:rPr>
          <w:i/>
        </w:rPr>
        <w:t>:</w:t>
      </w:r>
      <w:r w:rsidRPr="00FE63B3">
        <w:rPr>
          <w:i/>
        </w:rPr>
        <w:t xml:space="preserve"> reading</w:t>
      </w:r>
      <w:r w:rsidR="004C0627">
        <w:t>,</w:t>
      </w:r>
      <w:r w:rsidRPr="00401D60">
        <w:t xml:space="preserve"> viewed </w:t>
      </w:r>
      <w:r w:rsidR="00132932">
        <w:t>November</w:t>
      </w:r>
      <w:r w:rsidRPr="00401D60">
        <w:t xml:space="preserve"> 2016, </w:t>
      </w:r>
      <w:r w:rsidR="004C0627">
        <w:t>&lt;</w:t>
      </w:r>
      <w:hyperlink r:id="rId26" w:history="1">
        <w:r w:rsidR="004C0627" w:rsidRPr="00AF5A5F">
          <w:rPr>
            <w:rStyle w:val="Hyperlink"/>
            <w:sz w:val="18"/>
          </w:rPr>
          <w:t>http://dera.ioe.ac.uk/22305/1/doc_3343.pdf</w:t>
        </w:r>
      </w:hyperlink>
      <w:r w:rsidR="004C0627">
        <w:t xml:space="preserve">&gt;, </w:t>
      </w:r>
      <w:r w:rsidR="004C0627" w:rsidRPr="00401D60">
        <w:t xml:space="preserve">National </w:t>
      </w:r>
      <w:r w:rsidR="004C0627">
        <w:t>Research and Development Centre</w:t>
      </w:r>
      <w:r w:rsidR="004C0627" w:rsidRPr="00401D60">
        <w:t>, London</w:t>
      </w:r>
      <w:r w:rsidR="004C0627">
        <w:t>.</w:t>
      </w:r>
    </w:p>
    <w:p w:rsidR="00A106C0" w:rsidRPr="00401D60" w:rsidRDefault="00D148B8" w:rsidP="00A106C0">
      <w:pPr>
        <w:pStyle w:val="References"/>
      </w:pPr>
      <w:r>
        <w:lastRenderedPageBreak/>
        <w:t>——</w:t>
      </w:r>
      <w:r w:rsidR="00A106C0" w:rsidRPr="00401D60">
        <w:t xml:space="preserve">2013, </w:t>
      </w:r>
      <w:proofErr w:type="gramStart"/>
      <w:r w:rsidR="00A106C0" w:rsidRPr="00FE63B3">
        <w:rPr>
          <w:i/>
        </w:rPr>
        <w:t>The</w:t>
      </w:r>
      <w:proofErr w:type="gramEnd"/>
      <w:r w:rsidR="00A106C0" w:rsidRPr="00FE63B3">
        <w:rPr>
          <w:i/>
        </w:rPr>
        <w:t xml:space="preserve"> study of effective practice in the teaching of reading to adult learners</w:t>
      </w:r>
      <w:r w:rsidR="00A106C0" w:rsidRPr="00401D60">
        <w:t xml:space="preserve">, viewed January 2016, </w:t>
      </w:r>
      <w:r w:rsidR="004C0627">
        <w:t>&lt;</w:t>
      </w:r>
      <w:hyperlink r:id="rId27" w:history="1">
        <w:r w:rsidR="004C0627" w:rsidRPr="00AF5A5F">
          <w:rPr>
            <w:rStyle w:val="Hyperlink"/>
            <w:sz w:val="18"/>
          </w:rPr>
          <w:t>http://www.nrdc.org.uk/wp-content/uploads/2015/12/Brooks-et-al-Effective-practice-teaching-reading-to-adults.pdf</w:t>
        </w:r>
      </w:hyperlink>
      <w:r w:rsidR="004C0627">
        <w:t xml:space="preserve">&gt;, </w:t>
      </w:r>
      <w:r w:rsidR="004C0627" w:rsidRPr="00401D60">
        <w:t>National Research and Development Centre, London</w:t>
      </w:r>
      <w:r w:rsidR="004C0627">
        <w:t>.</w:t>
      </w:r>
    </w:p>
    <w:p w:rsidR="00A106C0" w:rsidRPr="00401D60" w:rsidRDefault="00A106C0" w:rsidP="00A106C0">
      <w:pPr>
        <w:pStyle w:val="References"/>
      </w:pPr>
      <w:r w:rsidRPr="00401D60">
        <w:t>Burton, M, Davey, J, Lewis, M, Ritchie, L &amp; Brook</w:t>
      </w:r>
      <w:r w:rsidR="00FE63B3">
        <w:t xml:space="preserve">s, G 2008, </w:t>
      </w:r>
      <w:r w:rsidR="00FE63B3" w:rsidRPr="00FE63B3">
        <w:rPr>
          <w:i/>
        </w:rPr>
        <w:t>Practitioner guide: i</w:t>
      </w:r>
      <w:r w:rsidRPr="00FE63B3">
        <w:rPr>
          <w:i/>
        </w:rPr>
        <w:t>mproving reading phonics and fluency</w:t>
      </w:r>
      <w:r w:rsidRPr="00401D60">
        <w:t>, viewed January 2016,</w:t>
      </w:r>
      <w:r w:rsidR="004A65CA">
        <w:t xml:space="preserve"> </w:t>
      </w:r>
      <w:r w:rsidR="004C0627">
        <w:t>&lt;</w:t>
      </w:r>
      <w:hyperlink r:id="rId28" w:history="1">
        <w:r w:rsidR="004C0627" w:rsidRPr="00AF5A5F">
          <w:rPr>
            <w:rStyle w:val="Hyperlink"/>
            <w:sz w:val="18"/>
          </w:rPr>
          <w:t>http://www.nrdc.org.uk/</w:t>
        </w:r>
      </w:hyperlink>
      <w:r w:rsidR="004C0627">
        <w:t xml:space="preserve">&gt;, </w:t>
      </w:r>
      <w:r w:rsidR="004C0627" w:rsidRPr="00401D60">
        <w:t>National Research and Development Centre, London</w:t>
      </w:r>
      <w:r w:rsidR="004C0627">
        <w:t>.</w:t>
      </w:r>
    </w:p>
    <w:p w:rsidR="00A106C0" w:rsidRPr="00401D60" w:rsidRDefault="00A106C0" w:rsidP="00A106C0">
      <w:pPr>
        <w:pStyle w:val="References"/>
      </w:pPr>
      <w:r w:rsidRPr="00401D60">
        <w:t xml:space="preserve">Campbell, </w:t>
      </w:r>
      <w:r w:rsidR="00FE63B3">
        <w:t xml:space="preserve">B 2009, </w:t>
      </w:r>
      <w:r w:rsidR="00FE63B3" w:rsidRPr="00FE63B3">
        <w:rPr>
          <w:i/>
        </w:rPr>
        <w:t>Reading the Fine Print: a</w:t>
      </w:r>
      <w:r w:rsidRPr="00FE63B3">
        <w:rPr>
          <w:i/>
        </w:rPr>
        <w:t xml:space="preserve"> history of the Victorian Adult Literacy and Basic </w:t>
      </w:r>
      <w:r w:rsidR="004B6AB5">
        <w:rPr>
          <w:i/>
        </w:rPr>
        <w:t>Education Council (VALBEC) 1978—</w:t>
      </w:r>
      <w:r w:rsidRPr="00FE63B3">
        <w:rPr>
          <w:i/>
        </w:rPr>
        <w:t>2008</w:t>
      </w:r>
      <w:r w:rsidRPr="00401D60">
        <w:t>, VALBEC, Victoria.</w:t>
      </w:r>
    </w:p>
    <w:p w:rsidR="00A106C0" w:rsidRPr="00401D60" w:rsidRDefault="00A106C0" w:rsidP="00A106C0">
      <w:pPr>
        <w:pStyle w:val="References"/>
      </w:pPr>
      <w:r w:rsidRPr="00401D60">
        <w:t xml:space="preserve">Cara, O &amp; de </w:t>
      </w:r>
      <w:proofErr w:type="spellStart"/>
      <w:r w:rsidRPr="00401D60">
        <w:t>Coulon</w:t>
      </w:r>
      <w:proofErr w:type="spellEnd"/>
      <w:r w:rsidRPr="00401D60">
        <w:t xml:space="preserve">, A 2009, </w:t>
      </w:r>
      <w:r w:rsidRPr="00FE63B3">
        <w:rPr>
          <w:i/>
        </w:rPr>
        <w:t>Teachers’ qualifications and their learners’ progress and change in self-confidence: results from the teacher and learner studies</w:t>
      </w:r>
      <w:r w:rsidRPr="00401D60">
        <w:t xml:space="preserve">, </w:t>
      </w:r>
      <w:r w:rsidR="004C0627">
        <w:t xml:space="preserve">viewed </w:t>
      </w:r>
      <w:r w:rsidRPr="00401D60">
        <w:t xml:space="preserve">January </w:t>
      </w:r>
      <w:r w:rsidR="004C0627">
        <w:t>2016, &lt;</w:t>
      </w:r>
      <w:hyperlink r:id="rId29" w:history="1">
        <w:r w:rsidR="004C0627" w:rsidRPr="00AF5A5F">
          <w:rPr>
            <w:rStyle w:val="Hyperlink"/>
            <w:sz w:val="18"/>
          </w:rPr>
          <w:t>http://www.nrdc.org.uk/</w:t>
        </w:r>
      </w:hyperlink>
      <w:r w:rsidR="004C0627">
        <w:t xml:space="preserve">&gt;, </w:t>
      </w:r>
      <w:r w:rsidR="004C0627" w:rsidRPr="00401D60">
        <w:t>National Research</w:t>
      </w:r>
      <w:r w:rsidR="004C0627">
        <w:t xml:space="preserve"> and Development Centre, London.</w:t>
      </w:r>
    </w:p>
    <w:p w:rsidR="00A106C0" w:rsidRPr="00401D60" w:rsidRDefault="00A106C0" w:rsidP="00A106C0">
      <w:pPr>
        <w:pStyle w:val="References"/>
      </w:pPr>
      <w:r w:rsidRPr="00401D60">
        <w:t xml:space="preserve">Cara, O, Litster, J, Swain, J &amp; </w:t>
      </w:r>
      <w:proofErr w:type="spellStart"/>
      <w:r w:rsidRPr="00401D60">
        <w:t>Vorhaus</w:t>
      </w:r>
      <w:proofErr w:type="spellEnd"/>
      <w:r w:rsidRPr="00401D60">
        <w:t xml:space="preserve">, J 2010, </w:t>
      </w:r>
      <w:r w:rsidRPr="00FE63B3">
        <w:rPr>
          <w:i/>
        </w:rPr>
        <w:t>The teacher study: the impact of the skills for life strategy on teachers</w:t>
      </w:r>
      <w:r w:rsidRPr="00401D60">
        <w:t xml:space="preserve">, </w:t>
      </w:r>
      <w:r w:rsidR="004C0627">
        <w:t xml:space="preserve">viewed </w:t>
      </w:r>
      <w:r w:rsidRPr="00401D60">
        <w:t xml:space="preserve">January 2016, </w:t>
      </w:r>
      <w:r w:rsidR="004C0627">
        <w:t>&lt;</w:t>
      </w:r>
      <w:hyperlink r:id="rId30" w:history="1">
        <w:r w:rsidR="004C0627" w:rsidRPr="00AF5A5F">
          <w:rPr>
            <w:rStyle w:val="Hyperlink"/>
            <w:sz w:val="18"/>
          </w:rPr>
          <w:t>http://www.nrdc.org.uk/?p=410</w:t>
        </w:r>
      </w:hyperlink>
      <w:r w:rsidR="004C0627">
        <w:t xml:space="preserve">&gt;, </w:t>
      </w:r>
      <w:r w:rsidR="004C0627" w:rsidRPr="00401D60">
        <w:t>National Research and Deve</w:t>
      </w:r>
      <w:r w:rsidR="004C0627">
        <w:t>lopment Centre, London.</w:t>
      </w:r>
    </w:p>
    <w:p w:rsidR="00A106C0" w:rsidRPr="00401D60" w:rsidRDefault="00A106C0" w:rsidP="00A106C0">
      <w:pPr>
        <w:pStyle w:val="References"/>
      </w:pPr>
      <w:r w:rsidRPr="00401D60">
        <w:t xml:space="preserve">Choy, S, </w:t>
      </w:r>
      <w:proofErr w:type="spellStart"/>
      <w:r w:rsidRPr="00401D60">
        <w:t>Haukka</w:t>
      </w:r>
      <w:proofErr w:type="spellEnd"/>
      <w:r w:rsidRPr="00401D60">
        <w:t xml:space="preserve">, S &amp; Keyes, E 2006, </w:t>
      </w:r>
      <w:r w:rsidRPr="00FE63B3">
        <w:rPr>
          <w:i/>
        </w:rPr>
        <w:t>ACE's role in developing Australia's human capital: a structured analysis</w:t>
      </w:r>
      <w:r w:rsidRPr="00401D60">
        <w:t>, viewed January 2016,</w:t>
      </w:r>
      <w:r w:rsidR="004C0627">
        <w:t xml:space="preserve">  &lt;</w:t>
      </w:r>
      <w:hyperlink r:id="rId31" w:history="1">
        <w:r w:rsidR="004C0627" w:rsidRPr="00AF5A5F">
          <w:rPr>
            <w:rStyle w:val="Hyperlink"/>
            <w:sz w:val="18"/>
          </w:rPr>
          <w:t>http://eprints.qut.edu.au/32211/1/ACEss_role_in_developing_Australia's_human_capital.pdf</w:t>
        </w:r>
      </w:hyperlink>
      <w:r w:rsidR="004C0627">
        <w:t xml:space="preserve">&gt;, </w:t>
      </w:r>
      <w:r w:rsidR="004C0627" w:rsidRPr="00401D60">
        <w:t>Adult Learning Australia, Canberra</w:t>
      </w:r>
      <w:r w:rsidR="004C0627">
        <w:t>.</w:t>
      </w:r>
    </w:p>
    <w:p w:rsidR="00A106C0" w:rsidRPr="00401D60" w:rsidRDefault="00A106C0" w:rsidP="00A106C0">
      <w:pPr>
        <w:pStyle w:val="References"/>
      </w:pPr>
      <w:r w:rsidRPr="00401D60">
        <w:t xml:space="preserve">Circelli, M 2015, </w:t>
      </w:r>
      <w:proofErr w:type="gramStart"/>
      <w:r w:rsidRPr="00FE63B3">
        <w:rPr>
          <w:i/>
        </w:rPr>
        <w:t>Who</w:t>
      </w:r>
      <w:proofErr w:type="gramEnd"/>
      <w:r w:rsidRPr="00FE63B3">
        <w:rPr>
          <w:i/>
        </w:rPr>
        <w:t xml:space="preserve"> is delivering foundation skills? </w:t>
      </w:r>
      <w:proofErr w:type="gramStart"/>
      <w:r w:rsidRPr="00FE63B3">
        <w:rPr>
          <w:i/>
        </w:rPr>
        <w:t>A survey of the LLN and education and training workforces</w:t>
      </w:r>
      <w:r w:rsidRPr="00401D60">
        <w:t>, NCVER, Adelaide</w:t>
      </w:r>
      <w:r w:rsidR="004C0627">
        <w:t>.</w:t>
      </w:r>
      <w:proofErr w:type="gramEnd"/>
    </w:p>
    <w:p w:rsidR="00A106C0" w:rsidRPr="00401D60" w:rsidRDefault="00A106C0" w:rsidP="00A106C0">
      <w:pPr>
        <w:pStyle w:val="References"/>
      </w:pPr>
      <w:proofErr w:type="spellStart"/>
      <w:r w:rsidRPr="00401D60">
        <w:t>Coben</w:t>
      </w:r>
      <w:proofErr w:type="spellEnd"/>
      <w:r w:rsidRPr="00401D60">
        <w:t xml:space="preserve">, D &amp; Chanda, N 2000, ‘Teaching "not less than maths, but more": an overview of recent developments in adult numeracy </w:t>
      </w:r>
      <w:r w:rsidR="004B6AB5">
        <w:t>teacher development in England —</w:t>
      </w:r>
      <w:r w:rsidRPr="00401D60">
        <w:t xml:space="preserve"> with a sidelong glance at Australia’, </w:t>
      </w:r>
      <w:r w:rsidR="00FE63B3">
        <w:t xml:space="preserve">in </w:t>
      </w:r>
      <w:r w:rsidR="004B6AB5" w:rsidRPr="00401D60">
        <w:t xml:space="preserve">D </w:t>
      </w:r>
      <w:proofErr w:type="spellStart"/>
      <w:r w:rsidR="004B6AB5" w:rsidRPr="00401D60">
        <w:t>Coben</w:t>
      </w:r>
      <w:proofErr w:type="spellEnd"/>
      <w:r w:rsidR="004B6AB5" w:rsidRPr="00401D60">
        <w:t xml:space="preserve">, J </w:t>
      </w:r>
      <w:proofErr w:type="spellStart"/>
      <w:r w:rsidR="004B6AB5" w:rsidRPr="00401D60">
        <w:t>O'Donoghue</w:t>
      </w:r>
      <w:proofErr w:type="spellEnd"/>
      <w:r w:rsidR="004B6AB5" w:rsidRPr="00401D60">
        <w:t xml:space="preserve"> &amp; G </w:t>
      </w:r>
      <w:proofErr w:type="spellStart"/>
      <w:r w:rsidR="004B6AB5" w:rsidRPr="00401D60">
        <w:t>FitzSimons</w:t>
      </w:r>
      <w:proofErr w:type="spellEnd"/>
      <w:r w:rsidR="004B6AB5" w:rsidRPr="00FE63B3">
        <w:rPr>
          <w:i/>
        </w:rPr>
        <w:t xml:space="preserve"> </w:t>
      </w:r>
      <w:r w:rsidR="009738AD">
        <w:t>(</w:t>
      </w:r>
      <w:proofErr w:type="spellStart"/>
      <w:r w:rsidR="009738AD">
        <w:t>eds</w:t>
      </w:r>
      <w:proofErr w:type="spellEnd"/>
      <w:r w:rsidR="009738AD">
        <w:t xml:space="preserve">), </w:t>
      </w:r>
      <w:r w:rsidRPr="00FE63B3">
        <w:rPr>
          <w:i/>
        </w:rPr>
        <w:t>Perspectives on Adults Learning Mathematics: Research and Practice</w:t>
      </w:r>
      <w:r w:rsidR="009738AD">
        <w:t>,</w:t>
      </w:r>
      <w:r w:rsidR="004A65CA">
        <w:t xml:space="preserve"> </w:t>
      </w:r>
      <w:r w:rsidRPr="00401D60">
        <w:t>Kluwer Academic Publish</w:t>
      </w:r>
      <w:r w:rsidR="009738AD">
        <w:t xml:space="preserve">ers, Dordrecht, Boston, </w:t>
      </w:r>
      <w:r w:rsidR="004C0627">
        <w:t xml:space="preserve">vol.21, </w:t>
      </w:r>
      <w:r w:rsidR="009738AD">
        <w:t>pp.301—</w:t>
      </w:r>
      <w:r w:rsidRPr="00401D60">
        <w:t>21.</w:t>
      </w:r>
    </w:p>
    <w:p w:rsidR="00A106C0" w:rsidRPr="00401D60" w:rsidRDefault="00A106C0" w:rsidP="00A106C0">
      <w:pPr>
        <w:pStyle w:val="References"/>
      </w:pPr>
      <w:r w:rsidRPr="00401D60">
        <w:t xml:space="preserve">Comings, J &amp; </w:t>
      </w:r>
      <w:proofErr w:type="spellStart"/>
      <w:r w:rsidRPr="00401D60">
        <w:t>Soricone</w:t>
      </w:r>
      <w:proofErr w:type="spellEnd"/>
      <w:r w:rsidRPr="00401D60">
        <w:t xml:space="preserve">, L 2005, </w:t>
      </w:r>
      <w:r w:rsidR="00FE63B3">
        <w:t>‘</w:t>
      </w:r>
      <w:r w:rsidR="009738AD">
        <w:t>Massachusetts: a</w:t>
      </w:r>
      <w:r w:rsidRPr="00401D60">
        <w:t xml:space="preserve"> case study of improvement and growth of adult education </w:t>
      </w:r>
      <w:r w:rsidR="009738AD">
        <w:t>—</w:t>
      </w:r>
      <w:r w:rsidR="00FE63B3">
        <w:t xml:space="preserve"> </w:t>
      </w:r>
      <w:r w:rsidRPr="00401D60">
        <w:t>services</w:t>
      </w:r>
      <w:r w:rsidR="00FE63B3">
        <w:t>’</w:t>
      </w:r>
      <w:r w:rsidRPr="00401D60">
        <w:t xml:space="preserve">, </w:t>
      </w:r>
      <w:r w:rsidRPr="00FE63B3">
        <w:rPr>
          <w:i/>
        </w:rPr>
        <w:t xml:space="preserve">Review of Adult Learning and Literacy, </w:t>
      </w:r>
      <w:r w:rsidRPr="009738AD">
        <w:t>vol.5</w:t>
      </w:r>
      <w:r w:rsidR="009738AD">
        <w:t>, chapter</w:t>
      </w:r>
      <w:r w:rsidRPr="00401D60">
        <w:t xml:space="preserve"> 4,</w:t>
      </w:r>
      <w:r w:rsidR="009738AD">
        <w:t xml:space="preserve"> pp.85—</w:t>
      </w:r>
      <w:r w:rsidRPr="00401D60">
        <w:t>123, NCSALL, viewed January 2016, &lt;http://www.ncsall.net/index.html@id=779.html&gt;.</w:t>
      </w:r>
    </w:p>
    <w:p w:rsidR="00A106C0" w:rsidRPr="00401D60" w:rsidRDefault="00A106C0" w:rsidP="00A106C0">
      <w:pPr>
        <w:pStyle w:val="References"/>
      </w:pPr>
      <w:proofErr w:type="spellStart"/>
      <w:r w:rsidRPr="00401D60">
        <w:t>Condelli</w:t>
      </w:r>
      <w:proofErr w:type="spellEnd"/>
      <w:r w:rsidRPr="00401D60">
        <w:t xml:space="preserve">, L 2006, </w:t>
      </w:r>
      <w:r w:rsidRPr="00FE63B3">
        <w:rPr>
          <w:i/>
        </w:rPr>
        <w:t>A review of the literature in adult numeracy: research and conceptual issues</w:t>
      </w:r>
      <w:r w:rsidR="00247DF8">
        <w:t xml:space="preserve">, viewed </w:t>
      </w:r>
      <w:r w:rsidRPr="00401D60">
        <w:t xml:space="preserve">January 2016, </w:t>
      </w:r>
      <w:r w:rsidR="00247DF8">
        <w:t>&lt;</w:t>
      </w:r>
      <w:hyperlink r:id="rId32" w:history="1">
        <w:r w:rsidR="00247DF8" w:rsidRPr="00AF5A5F">
          <w:rPr>
            <w:rStyle w:val="Hyperlink"/>
            <w:sz w:val="18"/>
          </w:rPr>
          <w:t>http://eric.ed.gov/?id=ED495456</w:t>
        </w:r>
      </w:hyperlink>
      <w:r w:rsidR="00247DF8">
        <w:t xml:space="preserve">&gt;, </w:t>
      </w:r>
      <w:r w:rsidR="00247DF8" w:rsidRPr="00401D60">
        <w:t>American Institute for Research, Washington</w:t>
      </w:r>
      <w:r w:rsidR="00247DF8">
        <w:t>, DC.</w:t>
      </w:r>
    </w:p>
    <w:p w:rsidR="00A106C0" w:rsidRPr="00401D60" w:rsidRDefault="00A106C0" w:rsidP="00A106C0">
      <w:pPr>
        <w:pStyle w:val="References"/>
      </w:pPr>
      <w:r w:rsidRPr="00401D60">
        <w:t>Cuba</w:t>
      </w:r>
      <w:r w:rsidR="00FE63B3">
        <w:t>n, S 2009, ‘Outside practices: l</w:t>
      </w:r>
      <w:r w:rsidRPr="00401D60">
        <w:t xml:space="preserve">earning within the borderlands’, </w:t>
      </w:r>
      <w:r w:rsidRPr="00FE63B3">
        <w:rPr>
          <w:i/>
        </w:rPr>
        <w:t xml:space="preserve">Literacy and Numeracy Studies, </w:t>
      </w:r>
      <w:r w:rsidRPr="009738AD">
        <w:t>vol.16,</w:t>
      </w:r>
      <w:r w:rsidR="009738AD">
        <w:t xml:space="preserve"> no.2, pp.5—</w:t>
      </w:r>
      <w:r w:rsidRPr="00401D60">
        <w:t>18.</w:t>
      </w:r>
    </w:p>
    <w:p w:rsidR="00A106C0" w:rsidRPr="00401D60" w:rsidRDefault="00FE63B3" w:rsidP="00A106C0">
      <w:pPr>
        <w:pStyle w:val="References"/>
      </w:pPr>
      <w:r>
        <w:t>Dennis, C 2010, ‘</w:t>
      </w:r>
      <w:r w:rsidR="00A106C0" w:rsidRPr="00401D60">
        <w:t xml:space="preserve">Is the </w:t>
      </w:r>
      <w:proofErr w:type="spellStart"/>
      <w:r w:rsidR="00A106C0" w:rsidRPr="00401D60">
        <w:t>professionalisation</w:t>
      </w:r>
      <w:proofErr w:type="spellEnd"/>
      <w:r w:rsidR="00A106C0" w:rsidRPr="00401D60">
        <w:t xml:space="preserve"> of adult basic skills practice possible, desirable or inevitable?</w:t>
      </w:r>
      <w:proofErr w:type="gramStart"/>
      <w:r w:rsidR="00A106C0" w:rsidRPr="00401D60">
        <w:t>’,</w:t>
      </w:r>
      <w:proofErr w:type="gramEnd"/>
      <w:r w:rsidR="00A106C0" w:rsidRPr="00401D60">
        <w:t xml:space="preserve"> </w:t>
      </w:r>
      <w:r w:rsidR="00A106C0" w:rsidRPr="00FE63B3">
        <w:rPr>
          <w:i/>
        </w:rPr>
        <w:t xml:space="preserve">Literacy and Numeracy Studies, </w:t>
      </w:r>
      <w:r w:rsidR="00A106C0" w:rsidRPr="009738AD">
        <w:t>vol.18</w:t>
      </w:r>
      <w:r w:rsidR="00247DF8">
        <w:t>, no.2, pp.26—42.</w:t>
      </w:r>
    </w:p>
    <w:p w:rsidR="00A106C0" w:rsidRPr="00401D60" w:rsidRDefault="00A106C0" w:rsidP="00A106C0">
      <w:pPr>
        <w:pStyle w:val="References"/>
      </w:pPr>
      <w:r w:rsidRPr="00401D60">
        <w:t xml:space="preserve">Department of Education and </w:t>
      </w:r>
      <w:r w:rsidR="009738AD">
        <w:t xml:space="preserve">Training </w:t>
      </w:r>
      <w:r w:rsidRPr="00401D60">
        <w:t xml:space="preserve">2015, </w:t>
      </w:r>
      <w:hyperlink r:id="rId33" w:tooltip="Skills support for individuals" w:history="1">
        <w:r w:rsidRPr="00FE63B3">
          <w:rPr>
            <w:i/>
          </w:rPr>
          <w:t>Skills support for individuals</w:t>
        </w:r>
      </w:hyperlink>
      <w:r w:rsidRPr="00FE63B3">
        <w:rPr>
          <w:i/>
        </w:rPr>
        <w:t xml:space="preserve">. </w:t>
      </w:r>
      <w:proofErr w:type="gramStart"/>
      <w:r w:rsidRPr="00FE63B3">
        <w:rPr>
          <w:i/>
        </w:rPr>
        <w:t>Language, Literacy and Numeracy Practitioner Scholarships Programme</w:t>
      </w:r>
      <w:r w:rsidRPr="00401D60">
        <w:t>, last up</w:t>
      </w:r>
      <w:r w:rsidR="00FE63B3">
        <w:t xml:space="preserve">dated 11 December 2015, viewed </w:t>
      </w:r>
      <w:r w:rsidRPr="00401D60">
        <w:t>January 2016</w:t>
      </w:r>
      <w:r w:rsidR="009738AD">
        <w:t>,</w:t>
      </w:r>
      <w:r w:rsidRPr="00401D60">
        <w:t xml:space="preserve"> &lt;</w:t>
      </w:r>
      <w:hyperlink r:id="rId34" w:history="1">
        <w:r w:rsidRPr="00401D60">
          <w:t>http://www.education.gov.au/language-literacy-and-numeracy-practitioner-scholarships-programme</w:t>
        </w:r>
      </w:hyperlink>
      <w:r w:rsidRPr="00401D60">
        <w:t>&gt;</w:t>
      </w:r>
      <w:r w:rsidR="009738AD">
        <w:t>.</w:t>
      </w:r>
      <w:proofErr w:type="gramEnd"/>
    </w:p>
    <w:p w:rsidR="00A106C0" w:rsidRPr="00401D60" w:rsidRDefault="00A106C0" w:rsidP="00A106C0">
      <w:pPr>
        <w:pStyle w:val="References"/>
      </w:pPr>
      <w:r w:rsidRPr="00401D60">
        <w:t xml:space="preserve">Duckworth V &amp; Hamilton, M 2016, ‘The </w:t>
      </w:r>
      <w:r w:rsidR="009738AD" w:rsidRPr="00401D60">
        <w:t xml:space="preserve">significance of research and practice in adult literacy </w:t>
      </w:r>
      <w:r w:rsidRPr="00401D60">
        <w:t xml:space="preserve">in the UK’, </w:t>
      </w:r>
      <w:r w:rsidR="003155B8" w:rsidRPr="00621610">
        <w:rPr>
          <w:szCs w:val="18"/>
        </w:rPr>
        <w:t xml:space="preserve">in </w:t>
      </w:r>
      <w:r w:rsidR="009738AD" w:rsidRPr="00621610">
        <w:rPr>
          <w:szCs w:val="18"/>
        </w:rPr>
        <w:t>K</w:t>
      </w:r>
      <w:r w:rsidR="009738AD">
        <w:rPr>
          <w:szCs w:val="18"/>
        </w:rPr>
        <w:t xml:space="preserve"> </w:t>
      </w:r>
      <w:r w:rsidR="009738AD" w:rsidRPr="00621610">
        <w:rPr>
          <w:szCs w:val="18"/>
        </w:rPr>
        <w:t>Yasukawa &amp; S</w:t>
      </w:r>
      <w:r w:rsidR="009738AD">
        <w:rPr>
          <w:szCs w:val="18"/>
        </w:rPr>
        <w:t xml:space="preserve"> </w:t>
      </w:r>
      <w:r w:rsidR="009738AD" w:rsidRPr="00621610">
        <w:rPr>
          <w:szCs w:val="18"/>
        </w:rPr>
        <w:t>Black</w:t>
      </w:r>
      <w:r w:rsidR="009738AD">
        <w:rPr>
          <w:szCs w:val="18"/>
        </w:rPr>
        <w:t xml:space="preserve"> (</w:t>
      </w:r>
      <w:proofErr w:type="spellStart"/>
      <w:proofErr w:type="gramStart"/>
      <w:r w:rsidR="009738AD">
        <w:rPr>
          <w:szCs w:val="18"/>
        </w:rPr>
        <w:t>eds</w:t>
      </w:r>
      <w:proofErr w:type="spellEnd"/>
      <w:proofErr w:type="gramEnd"/>
      <w:r w:rsidR="009738AD">
        <w:rPr>
          <w:szCs w:val="18"/>
        </w:rPr>
        <w:t>),</w:t>
      </w:r>
      <w:r w:rsidR="009738AD" w:rsidRPr="00621610">
        <w:rPr>
          <w:i/>
          <w:szCs w:val="18"/>
        </w:rPr>
        <w:t xml:space="preserve"> </w:t>
      </w:r>
      <w:r w:rsidR="003155B8" w:rsidRPr="00621610">
        <w:rPr>
          <w:i/>
          <w:szCs w:val="18"/>
        </w:rPr>
        <w:t xml:space="preserve">Beyond </w:t>
      </w:r>
      <w:r w:rsidR="003155B8">
        <w:rPr>
          <w:i/>
          <w:szCs w:val="18"/>
        </w:rPr>
        <w:t>e</w:t>
      </w:r>
      <w:r w:rsidR="003155B8" w:rsidRPr="00621610">
        <w:rPr>
          <w:i/>
          <w:szCs w:val="18"/>
        </w:rPr>
        <w:t>conomic</w:t>
      </w:r>
      <w:r w:rsidR="003155B8">
        <w:rPr>
          <w:i/>
          <w:szCs w:val="18"/>
        </w:rPr>
        <w:t xml:space="preserve"> i</w:t>
      </w:r>
      <w:r w:rsidR="003155B8" w:rsidRPr="00621610">
        <w:rPr>
          <w:i/>
          <w:szCs w:val="18"/>
        </w:rPr>
        <w:t>nterests: critical perspective on adult literacy and numeracy in a globalised world</w:t>
      </w:r>
      <w:r w:rsidR="003155B8">
        <w:rPr>
          <w:i/>
          <w:szCs w:val="18"/>
        </w:rPr>
        <w:t>,</w:t>
      </w:r>
      <w:r w:rsidR="003155B8" w:rsidRPr="00621610">
        <w:rPr>
          <w:szCs w:val="18"/>
        </w:rPr>
        <w:t xml:space="preserve"> Sense publishers, Rotterdam,</w:t>
      </w:r>
      <w:r w:rsidR="009738AD">
        <w:t xml:space="preserve"> pp.167—</w:t>
      </w:r>
      <w:r w:rsidRPr="00401D60">
        <w:t>84.</w:t>
      </w:r>
    </w:p>
    <w:p w:rsidR="00A106C0" w:rsidRPr="00401D60" w:rsidRDefault="00A106C0" w:rsidP="00247DF8">
      <w:pPr>
        <w:pStyle w:val="References"/>
        <w:ind w:right="-426"/>
      </w:pPr>
      <w:proofErr w:type="spellStart"/>
      <w:r w:rsidRPr="00401D60">
        <w:t>Dymock</w:t>
      </w:r>
      <w:proofErr w:type="spellEnd"/>
      <w:r w:rsidRPr="00401D60">
        <w:t xml:space="preserve">, D 2007, </w:t>
      </w:r>
      <w:r w:rsidRPr="006E7FE8">
        <w:rPr>
          <w:i/>
        </w:rPr>
        <w:t>Engaging adult learners: the role of non-accredited learning in language, literacy and numeracy</w:t>
      </w:r>
      <w:r w:rsidRPr="00401D60">
        <w:t>, viewed December 2016,</w:t>
      </w:r>
      <w:r w:rsidR="004A65CA">
        <w:t xml:space="preserve">                                                         </w:t>
      </w:r>
      <w:r w:rsidR="00247DF8">
        <w:t>&lt;</w:t>
      </w:r>
      <w:hyperlink r:id="rId35" w:history="1">
        <w:r w:rsidR="00247DF8" w:rsidRPr="00AF5A5F">
          <w:rPr>
            <w:rStyle w:val="Hyperlink"/>
            <w:sz w:val="18"/>
          </w:rPr>
          <w:t>https://www.ala.asn.au/wpcontent/uploads/research/ALA_Report_Dymock_FINAL_18_June.pdf</w:t>
        </w:r>
      </w:hyperlink>
      <w:r w:rsidR="00247DF8">
        <w:t xml:space="preserve">&gt;, </w:t>
      </w:r>
      <w:r w:rsidR="00247DF8" w:rsidRPr="00401D60">
        <w:t>Adult learning Australia, Canberra</w:t>
      </w:r>
      <w:r w:rsidR="00247DF8">
        <w:t>.</w:t>
      </w:r>
    </w:p>
    <w:p w:rsidR="00A106C0" w:rsidRPr="00401D60" w:rsidRDefault="00A106C0" w:rsidP="00A106C0">
      <w:pPr>
        <w:pStyle w:val="References"/>
      </w:pPr>
      <w:proofErr w:type="spellStart"/>
      <w:r w:rsidRPr="00401D60">
        <w:t>Escalier</w:t>
      </w:r>
      <w:proofErr w:type="spellEnd"/>
      <w:r w:rsidRPr="00401D60">
        <w:t xml:space="preserve"> McLean Consulting 2013, </w:t>
      </w:r>
      <w:r w:rsidRPr="006E7FE8">
        <w:rPr>
          <w:i/>
        </w:rPr>
        <w:t>Skills Tasmania: exploration project on reporting language literacy and numeracy outcomes using finer gradations of the Australian Core Skills Framewor</w:t>
      </w:r>
      <w:r w:rsidRPr="00247DF8">
        <w:rPr>
          <w:i/>
        </w:rPr>
        <w:t>k, ACSF</w:t>
      </w:r>
      <w:r w:rsidR="00247DF8">
        <w:t>, viewed</w:t>
      </w:r>
      <w:r w:rsidRPr="00401D60">
        <w:t xml:space="preserve"> March 2016, </w:t>
      </w:r>
      <w:r w:rsidR="00247DF8">
        <w:t>&lt;</w:t>
      </w:r>
      <w:hyperlink r:id="rId36" w:history="1">
        <w:r w:rsidR="00247DF8" w:rsidRPr="00AF5A5F">
          <w:rPr>
            <w:rStyle w:val="Hyperlink"/>
            <w:sz w:val="18"/>
          </w:rPr>
          <w:t>http://www.acal.edu.au/14conf/docs/Skills-Tasmania-26TEN-Escalier-McLean-Using-ACSF-in-Finer-Grained-Way-2013.pdf</w:t>
        </w:r>
      </w:hyperlink>
      <w:r w:rsidR="00247DF8">
        <w:t xml:space="preserve">&gt;, </w:t>
      </w:r>
      <w:r w:rsidR="00247DF8" w:rsidRPr="00401D60">
        <w:t>Australian Council for Ad</w:t>
      </w:r>
      <w:r w:rsidR="00247DF8">
        <w:t>ult Literacy, Canberra.</w:t>
      </w:r>
    </w:p>
    <w:p w:rsidR="00A106C0" w:rsidRPr="00401D60" w:rsidRDefault="00A106C0" w:rsidP="00A106C0">
      <w:pPr>
        <w:pStyle w:val="References"/>
      </w:pPr>
      <w:proofErr w:type="spellStart"/>
      <w:r w:rsidRPr="00401D60">
        <w:t>Garbett</w:t>
      </w:r>
      <w:proofErr w:type="spellEnd"/>
      <w:r w:rsidRPr="00401D60">
        <w:t xml:space="preserve">, G </w:t>
      </w:r>
      <w:proofErr w:type="spellStart"/>
      <w:r w:rsidRPr="00401D60">
        <w:t>Orrock</w:t>
      </w:r>
      <w:proofErr w:type="spellEnd"/>
      <w:r w:rsidRPr="00401D60">
        <w:t xml:space="preserve">, D &amp; Smith, R 2013, ‘Culture clash: mentoring student literacy educators in a </w:t>
      </w:r>
      <w:proofErr w:type="spellStart"/>
      <w:r w:rsidRPr="00401D60">
        <w:t>marketised</w:t>
      </w:r>
      <w:proofErr w:type="spellEnd"/>
      <w:r w:rsidRPr="00401D60">
        <w:t xml:space="preserve"> and instrumentalist further education </w:t>
      </w:r>
      <w:proofErr w:type="spellStart"/>
      <w:r w:rsidRPr="00401D60">
        <w:t>policyscape</w:t>
      </w:r>
      <w:proofErr w:type="spellEnd"/>
      <w:r w:rsidRPr="00401D60">
        <w:t xml:space="preserve">’, </w:t>
      </w:r>
      <w:r w:rsidRPr="006E7FE8">
        <w:rPr>
          <w:i/>
        </w:rPr>
        <w:t xml:space="preserve">Research in Post-Compulsory Education, </w:t>
      </w:r>
      <w:r w:rsidRPr="009738AD">
        <w:t>vol.18</w:t>
      </w:r>
      <w:r w:rsidR="009738AD" w:rsidRPr="009738AD">
        <w:t>,</w:t>
      </w:r>
      <w:r w:rsidR="009738AD">
        <w:t xml:space="preserve"> no.3, pp.239—</w:t>
      </w:r>
      <w:r w:rsidRPr="00401D60">
        <w:t>56.</w:t>
      </w:r>
    </w:p>
    <w:p w:rsidR="00A106C0" w:rsidRPr="00401D60" w:rsidRDefault="00A106C0" w:rsidP="00A106C0">
      <w:pPr>
        <w:pStyle w:val="References"/>
      </w:pPr>
      <w:r w:rsidRPr="00401D60">
        <w:t xml:space="preserve">Grief, S, Meyer, B &amp; Burgess, A 2007, </w:t>
      </w:r>
      <w:r w:rsidRPr="006E7FE8">
        <w:rPr>
          <w:i/>
        </w:rPr>
        <w:t>Effective teaching and learning writing</w:t>
      </w:r>
      <w:r w:rsidRPr="00401D60">
        <w:t>, viewed March 2016,</w:t>
      </w:r>
      <w:r w:rsidR="004A65CA">
        <w:t xml:space="preserve"> </w:t>
      </w:r>
      <w:r w:rsidR="002C62D7">
        <w:t>&lt;</w:t>
      </w:r>
      <w:hyperlink r:id="rId37" w:history="1">
        <w:r w:rsidR="002C62D7" w:rsidRPr="00AF5A5F">
          <w:rPr>
            <w:rStyle w:val="Hyperlink"/>
            <w:sz w:val="18"/>
          </w:rPr>
          <w:t>http://dera.ioe.ac.uk/22303/2/doc_3346.pdf</w:t>
        </w:r>
      </w:hyperlink>
      <w:r w:rsidR="002C62D7">
        <w:t xml:space="preserve">&gt;, </w:t>
      </w:r>
      <w:r w:rsidR="002C62D7" w:rsidRPr="00401D60">
        <w:t>National Research and Development Centre, London</w:t>
      </w:r>
      <w:r w:rsidR="002C62D7">
        <w:t>.</w:t>
      </w:r>
    </w:p>
    <w:p w:rsidR="00A106C0" w:rsidRPr="00401D60" w:rsidRDefault="00A106C0" w:rsidP="00A106C0">
      <w:pPr>
        <w:pStyle w:val="References"/>
      </w:pPr>
      <w:r w:rsidRPr="00401D60">
        <w:t xml:space="preserve">Hamilton, M &amp; Hillier, Y 2006, </w:t>
      </w:r>
      <w:proofErr w:type="gramStart"/>
      <w:r w:rsidRPr="006E7FE8">
        <w:rPr>
          <w:i/>
        </w:rPr>
        <w:t>Changing</w:t>
      </w:r>
      <w:proofErr w:type="gramEnd"/>
      <w:r w:rsidRPr="006E7FE8">
        <w:rPr>
          <w:i/>
        </w:rPr>
        <w:t xml:space="preserve"> faces of adult literacy language and numeracy: a critical history</w:t>
      </w:r>
      <w:r w:rsidRPr="00401D60">
        <w:t>, Stoke on Trent, UK, Trentham Books.</w:t>
      </w:r>
    </w:p>
    <w:p w:rsidR="00A106C0" w:rsidRPr="00401D60" w:rsidRDefault="00A106C0" w:rsidP="00A106C0">
      <w:pPr>
        <w:pStyle w:val="References"/>
      </w:pPr>
      <w:r w:rsidRPr="00401D60">
        <w:t xml:space="preserve">Hazell, P 2002, </w:t>
      </w:r>
      <w:proofErr w:type="gramStart"/>
      <w:r w:rsidRPr="006E7FE8">
        <w:rPr>
          <w:i/>
        </w:rPr>
        <w:t>And</w:t>
      </w:r>
      <w:proofErr w:type="gramEnd"/>
      <w:r w:rsidRPr="006E7FE8">
        <w:rPr>
          <w:i/>
        </w:rPr>
        <w:t xml:space="preserve"> then there was one: Investigating ARIS, the Victorian Adult Education and Resource Information Service</w:t>
      </w:r>
      <w:r w:rsidRPr="00401D60">
        <w:t>, ALNARC, Sydney</w:t>
      </w:r>
      <w:r w:rsidR="009738AD">
        <w:t>.</w:t>
      </w:r>
    </w:p>
    <w:p w:rsidR="00A106C0" w:rsidRPr="00401D60" w:rsidRDefault="00A106C0" w:rsidP="00A106C0">
      <w:pPr>
        <w:pStyle w:val="References"/>
      </w:pPr>
      <w:r w:rsidRPr="00401D60">
        <w:lastRenderedPageBreak/>
        <w:t xml:space="preserve">Hodge, S 2015, ‘Alienating curriculum work in Australian vocational education and training’, </w:t>
      </w:r>
      <w:r w:rsidRPr="006E7FE8">
        <w:rPr>
          <w:i/>
        </w:rPr>
        <w:t>Critical Studies in Education</w:t>
      </w:r>
      <w:r w:rsidRPr="00401D60">
        <w:t>, viewed May 2016 &lt;http://dx.doi.org/10.1080/17508487.2015.1009842&gt;</w:t>
      </w:r>
      <w:r w:rsidR="009738AD">
        <w:t>.</w:t>
      </w:r>
    </w:p>
    <w:p w:rsidR="00A106C0" w:rsidRPr="00401D60" w:rsidRDefault="00A106C0" w:rsidP="00A106C0">
      <w:pPr>
        <w:pStyle w:val="References"/>
      </w:pPr>
      <w:r w:rsidRPr="003155B8">
        <w:t xml:space="preserve">Hunter, J 2016, ‘Critical re-visioning: the construction of practitioners in Aotearoa New Zealand’s literacy campaign’, </w:t>
      </w:r>
      <w:r w:rsidR="003155B8" w:rsidRPr="003155B8">
        <w:rPr>
          <w:szCs w:val="18"/>
        </w:rPr>
        <w:t xml:space="preserve">in </w:t>
      </w:r>
      <w:r w:rsidR="009738AD" w:rsidRPr="003155B8">
        <w:rPr>
          <w:szCs w:val="18"/>
        </w:rPr>
        <w:t>K Yasukawa &amp; S Black</w:t>
      </w:r>
      <w:r w:rsidR="009738AD">
        <w:rPr>
          <w:szCs w:val="18"/>
        </w:rPr>
        <w:t xml:space="preserve"> (</w:t>
      </w:r>
      <w:proofErr w:type="spellStart"/>
      <w:proofErr w:type="gramStart"/>
      <w:r w:rsidR="009738AD">
        <w:rPr>
          <w:szCs w:val="18"/>
        </w:rPr>
        <w:t>eds</w:t>
      </w:r>
      <w:proofErr w:type="spellEnd"/>
      <w:proofErr w:type="gramEnd"/>
      <w:r w:rsidR="009738AD">
        <w:rPr>
          <w:szCs w:val="18"/>
        </w:rPr>
        <w:t>),</w:t>
      </w:r>
      <w:r w:rsidR="009738AD" w:rsidRPr="003155B8">
        <w:rPr>
          <w:i/>
          <w:szCs w:val="18"/>
        </w:rPr>
        <w:t xml:space="preserve"> </w:t>
      </w:r>
      <w:r w:rsidR="003155B8" w:rsidRPr="003155B8">
        <w:rPr>
          <w:i/>
          <w:szCs w:val="18"/>
        </w:rPr>
        <w:t>Beyond economic interests: critical perspective on adult literacy and numeracy in a globalised world,</w:t>
      </w:r>
      <w:r w:rsidR="009738AD">
        <w:rPr>
          <w:szCs w:val="18"/>
        </w:rPr>
        <w:t xml:space="preserve"> </w:t>
      </w:r>
      <w:r w:rsidR="003155B8" w:rsidRPr="003155B8">
        <w:rPr>
          <w:szCs w:val="18"/>
        </w:rPr>
        <w:t xml:space="preserve">Sense publishers, Rotterdam, </w:t>
      </w:r>
      <w:r w:rsidRPr="003155B8">
        <w:t>pp.223-237.</w:t>
      </w:r>
    </w:p>
    <w:p w:rsidR="00A106C0" w:rsidRPr="00401D60" w:rsidRDefault="00A106C0" w:rsidP="00A106C0">
      <w:pPr>
        <w:pStyle w:val="References"/>
      </w:pPr>
      <w:r w:rsidRPr="00401D60">
        <w:t>Industry Skills Council</w:t>
      </w:r>
      <w:r w:rsidR="002149EC">
        <w:t>s</w:t>
      </w:r>
      <w:r w:rsidRPr="00401D60">
        <w:t xml:space="preserve"> 2011, </w:t>
      </w:r>
      <w:r w:rsidRPr="006E7FE8">
        <w:rPr>
          <w:i/>
        </w:rPr>
        <w:t>No more excuses: an industry response to the language, literacy and numeracy challenge</w:t>
      </w:r>
      <w:r w:rsidRPr="00401D60">
        <w:t>, ISC, Australia, viewed December 2015,</w:t>
      </w:r>
      <w:r w:rsidR="004A65CA">
        <w:t xml:space="preserve">                   </w:t>
      </w:r>
      <w:r w:rsidRPr="00401D60">
        <w:t xml:space="preserve"> &lt;https://www.ibsa.org.au/sites/default/files/media/No%20More%20Excuses%20ISC%20response%20to%20LLN%20challenge.pdf&gt;.</w:t>
      </w:r>
    </w:p>
    <w:p w:rsidR="00A106C0" w:rsidRPr="00401D60" w:rsidRDefault="00A106C0" w:rsidP="00A106C0">
      <w:pPr>
        <w:pStyle w:val="References"/>
      </w:pPr>
      <w:proofErr w:type="spellStart"/>
      <w:r w:rsidRPr="00401D60">
        <w:t>Ivanic</w:t>
      </w:r>
      <w:proofErr w:type="spellEnd"/>
      <w:r w:rsidRPr="00401D60">
        <w:t>, R, Edwards, R, Barton, D, Martin-Jones, M, Fowler, Z, Hughes, B &amp; Smith, J</w:t>
      </w:r>
      <w:r w:rsidR="006E7FE8">
        <w:t xml:space="preserve"> 2009,</w:t>
      </w:r>
      <w:r w:rsidRPr="00401D60">
        <w:t> </w:t>
      </w:r>
      <w:proofErr w:type="gramStart"/>
      <w:r w:rsidR="006E7FE8" w:rsidRPr="006E7FE8">
        <w:rPr>
          <w:i/>
        </w:rPr>
        <w:t>Improving</w:t>
      </w:r>
      <w:proofErr w:type="gramEnd"/>
      <w:r w:rsidR="006E7FE8" w:rsidRPr="006E7FE8">
        <w:rPr>
          <w:i/>
        </w:rPr>
        <w:t xml:space="preserve"> learning in college: r</w:t>
      </w:r>
      <w:r w:rsidRPr="006E7FE8">
        <w:rPr>
          <w:i/>
        </w:rPr>
        <w:t>ethinking literacies across the curriculum</w:t>
      </w:r>
      <w:r w:rsidRPr="00401D60">
        <w:t>, Routledge</w:t>
      </w:r>
      <w:r w:rsidR="009738AD">
        <w:t>, London</w:t>
      </w:r>
      <w:r w:rsidRPr="00401D60">
        <w:t>.</w:t>
      </w:r>
    </w:p>
    <w:p w:rsidR="00A106C0" w:rsidRPr="00401D60" w:rsidRDefault="00A106C0" w:rsidP="00A106C0">
      <w:pPr>
        <w:pStyle w:val="References"/>
      </w:pPr>
      <w:proofErr w:type="gramStart"/>
      <w:r w:rsidRPr="00401D60">
        <w:t xml:space="preserve">Jacobson, E 2016, ‘Workforce development rhetoric and the realities of 21st century capitalism’, </w:t>
      </w:r>
      <w:r w:rsidRPr="006E7FE8">
        <w:rPr>
          <w:i/>
        </w:rPr>
        <w:t xml:space="preserve">Literacy and Numeracy Studies, </w:t>
      </w:r>
      <w:r w:rsidRPr="009738AD">
        <w:t>vol.24,</w:t>
      </w:r>
      <w:r w:rsidR="009738AD">
        <w:t xml:space="preserve"> no.1, pp.3—</w:t>
      </w:r>
      <w:r w:rsidR="00D85A4D">
        <w:t>22.</w:t>
      </w:r>
      <w:proofErr w:type="gramEnd"/>
    </w:p>
    <w:p w:rsidR="00A106C0" w:rsidRPr="00401D60" w:rsidRDefault="006E7FE8" w:rsidP="00A106C0">
      <w:pPr>
        <w:pStyle w:val="References"/>
      </w:pPr>
      <w:proofErr w:type="gramStart"/>
      <w:r>
        <w:t>Jameson, J &amp; Hillier, Y 2008, ‘“</w:t>
      </w:r>
      <w:r w:rsidR="00A106C0" w:rsidRPr="00401D60">
        <w:t>Nothing will prevent me from doing a good job”.</w:t>
      </w:r>
      <w:proofErr w:type="gramEnd"/>
      <w:r w:rsidR="00A106C0" w:rsidRPr="00401D60">
        <w:t xml:space="preserve"> The </w:t>
      </w:r>
      <w:proofErr w:type="spellStart"/>
      <w:r w:rsidR="00A106C0" w:rsidRPr="00401D60">
        <w:t>professionalisation</w:t>
      </w:r>
      <w:proofErr w:type="spellEnd"/>
      <w:r w:rsidR="00A106C0" w:rsidRPr="00401D60">
        <w:t xml:space="preserve"> of part‐time teaching staff in further and adult education’, </w:t>
      </w:r>
      <w:r w:rsidR="00A106C0" w:rsidRPr="006E7FE8">
        <w:rPr>
          <w:i/>
        </w:rPr>
        <w:t xml:space="preserve">Research in Post-Compulsory Education, </w:t>
      </w:r>
      <w:r w:rsidR="00A106C0" w:rsidRPr="009738AD">
        <w:t>vol.13,</w:t>
      </w:r>
      <w:r w:rsidR="009738AD">
        <w:t xml:space="preserve"> no.1, pp.39—</w:t>
      </w:r>
      <w:r w:rsidR="00A106C0" w:rsidRPr="00401D60">
        <w:t>53.</w:t>
      </w:r>
    </w:p>
    <w:p w:rsidR="00A106C0" w:rsidRPr="00401D60" w:rsidRDefault="00A106C0" w:rsidP="00A106C0">
      <w:pPr>
        <w:pStyle w:val="References"/>
      </w:pPr>
      <w:r w:rsidRPr="00401D60">
        <w:t>Johnston, B, Kelly S &amp; Johnston, K</w:t>
      </w:r>
      <w:r w:rsidR="004A65CA">
        <w:t xml:space="preserve"> </w:t>
      </w:r>
      <w:r w:rsidRPr="00401D60">
        <w:t xml:space="preserve">2001, </w:t>
      </w:r>
      <w:r w:rsidRPr="006E7FE8">
        <w:rPr>
          <w:i/>
        </w:rPr>
        <w:t>The rise and fall of the NSW Adult Literacy and Information Office</w:t>
      </w:r>
      <w:r w:rsidRPr="00401D60">
        <w:t>, ALNARC, Sydney.</w:t>
      </w:r>
    </w:p>
    <w:p w:rsidR="00A106C0" w:rsidRPr="00401D60" w:rsidRDefault="00A106C0" w:rsidP="00A106C0">
      <w:pPr>
        <w:pStyle w:val="References"/>
      </w:pPr>
      <w:proofErr w:type="spellStart"/>
      <w:r w:rsidRPr="00401D60">
        <w:t>Kangan</w:t>
      </w:r>
      <w:proofErr w:type="spellEnd"/>
      <w:r w:rsidRPr="00401D60">
        <w:t xml:space="preserve">, M 1974, </w:t>
      </w:r>
      <w:r w:rsidRPr="006E7FE8">
        <w:rPr>
          <w:i/>
        </w:rPr>
        <w:t>TAFE in Australia: report on needs in technical and further education</w:t>
      </w:r>
      <w:r w:rsidR="00D85A4D">
        <w:t xml:space="preserve">, 2nd </w:t>
      </w:r>
      <w:proofErr w:type="spellStart"/>
      <w:r w:rsidR="00D85A4D">
        <w:t>edn</w:t>
      </w:r>
      <w:proofErr w:type="spellEnd"/>
      <w:r w:rsidR="00D85A4D">
        <w:t>,</w:t>
      </w:r>
      <w:r w:rsidRPr="00401D60">
        <w:t xml:space="preserve"> viewed December 2015,</w:t>
      </w:r>
      <w:r w:rsidR="00D85A4D">
        <w:t xml:space="preserve"> </w:t>
      </w:r>
      <w:r w:rsidRPr="00401D60">
        <w:t>&lt;</w:t>
      </w:r>
      <w:hyperlink r:id="rId38" w:history="1">
        <w:r w:rsidRPr="00401D60">
          <w:t>http://www.voced.edu.au/content/ngv%3A38436</w:t>
        </w:r>
      </w:hyperlink>
      <w:r w:rsidR="00D85A4D">
        <w:t xml:space="preserve">&gt;, </w:t>
      </w:r>
      <w:r w:rsidR="00D85A4D" w:rsidRPr="00401D60">
        <w:t>Australian Government Publishing service,</w:t>
      </w:r>
      <w:r w:rsidR="00D85A4D">
        <w:t xml:space="preserve"> </w:t>
      </w:r>
      <w:r w:rsidR="00D85A4D" w:rsidRPr="00401D60">
        <w:t>Canberra</w:t>
      </w:r>
      <w:r w:rsidR="00D85A4D">
        <w:t>.</w:t>
      </w:r>
    </w:p>
    <w:p w:rsidR="00A106C0" w:rsidRPr="00401D60" w:rsidRDefault="00A106C0" w:rsidP="00D85A4D">
      <w:pPr>
        <w:pStyle w:val="References"/>
        <w:ind w:right="-426"/>
      </w:pPr>
      <w:proofErr w:type="spellStart"/>
      <w:r w:rsidRPr="00401D60">
        <w:t>Kell</w:t>
      </w:r>
      <w:proofErr w:type="spellEnd"/>
      <w:r w:rsidRPr="00401D60">
        <w:t xml:space="preserve">, P 1998, </w:t>
      </w:r>
      <w:proofErr w:type="gramStart"/>
      <w:r w:rsidRPr="006E7FE8">
        <w:rPr>
          <w:i/>
        </w:rPr>
        <w:t>From</w:t>
      </w:r>
      <w:proofErr w:type="gramEnd"/>
      <w:r w:rsidRPr="006E7FE8">
        <w:rPr>
          <w:i/>
        </w:rPr>
        <w:t xml:space="preserve"> the billabong to the mainstream? A teachers’ guide to Australian training and lite</w:t>
      </w:r>
      <w:r w:rsidR="009738AD">
        <w:rPr>
          <w:i/>
        </w:rPr>
        <w:t>racy policy developments 1974—</w:t>
      </w:r>
      <w:r w:rsidRPr="006E7FE8">
        <w:rPr>
          <w:i/>
        </w:rPr>
        <w:t>1998</w:t>
      </w:r>
      <w:r w:rsidRPr="00401D60">
        <w:t>, Melbourne Language Australia, Queensland Adult Lit</w:t>
      </w:r>
      <w:r w:rsidR="00D85A4D">
        <w:t xml:space="preserve">eracy Research Network, viewed </w:t>
      </w:r>
      <w:r w:rsidRPr="00401D60">
        <w:t>December 2015,</w:t>
      </w:r>
      <w:r w:rsidR="004A65CA">
        <w:t xml:space="preserve"> </w:t>
      </w:r>
      <w:r w:rsidRPr="00401D60">
        <w:t>&lt;</w:t>
      </w:r>
      <w:hyperlink r:id="rId39" w:history="1">
        <w:r w:rsidRPr="00401D60">
          <w:t>http://files.eric.ed.gov/fulltext/ED425351.pdf</w:t>
        </w:r>
      </w:hyperlink>
      <w:r w:rsidRPr="00401D60">
        <w:t>&gt;.</w:t>
      </w:r>
    </w:p>
    <w:p w:rsidR="00A106C0" w:rsidRPr="00401D60" w:rsidRDefault="00A106C0" w:rsidP="00A106C0">
      <w:pPr>
        <w:pStyle w:val="References"/>
      </w:pPr>
      <w:proofErr w:type="spellStart"/>
      <w:r w:rsidRPr="00401D60">
        <w:t>Kell</w:t>
      </w:r>
      <w:proofErr w:type="spellEnd"/>
      <w:r w:rsidRPr="00401D60">
        <w:t>, P</w:t>
      </w:r>
      <w:r w:rsidR="00EB17CA">
        <w:t>,</w:t>
      </w:r>
      <w:r w:rsidRPr="00401D60">
        <w:t xml:space="preserve"> </w:t>
      </w:r>
      <w:proofErr w:type="spellStart"/>
      <w:r w:rsidRPr="00401D60">
        <w:t>Balatti</w:t>
      </w:r>
      <w:proofErr w:type="spellEnd"/>
      <w:r w:rsidRPr="00401D60">
        <w:t xml:space="preserve">, J &amp; </w:t>
      </w:r>
      <w:proofErr w:type="spellStart"/>
      <w:r w:rsidRPr="00401D60">
        <w:t>Muspratt</w:t>
      </w:r>
      <w:proofErr w:type="spellEnd"/>
      <w:r w:rsidRPr="00401D60">
        <w:t>, S 1997, ‘</w:t>
      </w:r>
      <w:proofErr w:type="gramStart"/>
      <w:r w:rsidRPr="00401D60">
        <w:t>The</w:t>
      </w:r>
      <w:proofErr w:type="gramEnd"/>
      <w:r w:rsidRPr="00401D60">
        <w:t xml:space="preserve"> private, public and open training markets: a study of private training providers in regional North Queensland’, </w:t>
      </w:r>
      <w:r w:rsidRPr="006E7FE8">
        <w:rPr>
          <w:i/>
        </w:rPr>
        <w:t xml:space="preserve">Australian Educational researcher, </w:t>
      </w:r>
      <w:r w:rsidRPr="009738AD">
        <w:t>vol.24</w:t>
      </w:r>
      <w:r w:rsidR="009738AD">
        <w:t>, no.2, pp.43—</w:t>
      </w:r>
      <w:r w:rsidRPr="00401D60">
        <w:t>57.</w:t>
      </w:r>
    </w:p>
    <w:p w:rsidR="00A106C0" w:rsidRPr="00401D60" w:rsidRDefault="00A106C0" w:rsidP="00A106C0">
      <w:pPr>
        <w:pStyle w:val="References"/>
      </w:pPr>
      <w:proofErr w:type="spellStart"/>
      <w:r w:rsidRPr="00401D60">
        <w:t>Leckie</w:t>
      </w:r>
      <w:proofErr w:type="spellEnd"/>
      <w:r w:rsidRPr="00401D60">
        <w:t xml:space="preserve">, N, </w:t>
      </w:r>
      <w:proofErr w:type="spellStart"/>
      <w:r w:rsidRPr="00401D60">
        <w:t>Rodier</w:t>
      </w:r>
      <w:proofErr w:type="spellEnd"/>
      <w:r w:rsidRPr="00401D60">
        <w:t xml:space="preserve">, J, Lalonde, P, Leonard, D &amp; </w:t>
      </w:r>
      <w:proofErr w:type="spellStart"/>
      <w:r w:rsidRPr="00401D60">
        <w:t>Gyarmati</w:t>
      </w:r>
      <w:proofErr w:type="spellEnd"/>
      <w:r w:rsidRPr="00401D60">
        <w:t xml:space="preserve">, D 2014, </w:t>
      </w:r>
      <w:r w:rsidRPr="006E7FE8">
        <w:rPr>
          <w:i/>
        </w:rPr>
        <w:t>Survey of the literacy and essential skills workforce: final report</w:t>
      </w:r>
      <w:r w:rsidRPr="00401D60">
        <w:t xml:space="preserve">, </w:t>
      </w:r>
      <w:r w:rsidR="00D85A4D">
        <w:t xml:space="preserve">viewed </w:t>
      </w:r>
      <w:r w:rsidRPr="00401D60">
        <w:t>December 2015,</w:t>
      </w:r>
      <w:r w:rsidR="004A65CA">
        <w:t xml:space="preserve"> </w:t>
      </w:r>
      <w:r w:rsidR="00D85A4D">
        <w:t>&lt;</w:t>
      </w:r>
      <w:hyperlink r:id="rId40" w:history="1">
        <w:r w:rsidR="00D85A4D" w:rsidRPr="00AF5A5F">
          <w:rPr>
            <w:rStyle w:val="Hyperlink"/>
            <w:sz w:val="18"/>
          </w:rPr>
          <w:t>http://www.srdc.org/media/199750/srdc-2014-survey-of-les-workforce.pdf</w:t>
        </w:r>
      </w:hyperlink>
      <w:r w:rsidR="00D85A4D">
        <w:t>&gt;,</w:t>
      </w:r>
      <w:r w:rsidR="00D85A4D" w:rsidRPr="00D85A4D">
        <w:t xml:space="preserve"> </w:t>
      </w:r>
      <w:r w:rsidR="00D85A4D" w:rsidRPr="00401D60">
        <w:t>Social Research and Demonstrat</w:t>
      </w:r>
      <w:r w:rsidR="00D85A4D">
        <w:t>ion Corporation, Ottawa.</w:t>
      </w:r>
    </w:p>
    <w:p w:rsidR="00A106C0" w:rsidRPr="00401D60" w:rsidRDefault="00A106C0" w:rsidP="00A106C0">
      <w:pPr>
        <w:pStyle w:val="References"/>
      </w:pPr>
      <w:proofErr w:type="spellStart"/>
      <w:r w:rsidRPr="00401D60">
        <w:t>Leske</w:t>
      </w:r>
      <w:proofErr w:type="spellEnd"/>
      <w:r w:rsidRPr="00401D60">
        <w:t xml:space="preserve">, A 2009, </w:t>
      </w:r>
      <w:r w:rsidRPr="006E7FE8">
        <w:rPr>
          <w:i/>
        </w:rPr>
        <w:t>Blind date: an exploration of potential partnerships between literacy teachers and community service workers</w:t>
      </w:r>
      <w:r w:rsidRPr="00401D60">
        <w:t>, NCVER, Adelaide.</w:t>
      </w:r>
    </w:p>
    <w:p w:rsidR="00A106C0" w:rsidRPr="00401D60" w:rsidRDefault="00A106C0" w:rsidP="00A106C0">
      <w:pPr>
        <w:pStyle w:val="References"/>
      </w:pPr>
      <w:r w:rsidRPr="003155B8">
        <w:t>McCormack, R 2016, ‘</w:t>
      </w:r>
      <w:proofErr w:type="gramStart"/>
      <w:r w:rsidRPr="003155B8">
        <w:t>The</w:t>
      </w:r>
      <w:proofErr w:type="gramEnd"/>
      <w:r w:rsidRPr="003155B8">
        <w:t xml:space="preserve"> four literacies: an exercise in public memory’, </w:t>
      </w:r>
      <w:r w:rsidR="003155B8" w:rsidRPr="003155B8">
        <w:rPr>
          <w:szCs w:val="18"/>
        </w:rPr>
        <w:t xml:space="preserve">in </w:t>
      </w:r>
      <w:r w:rsidR="009738AD" w:rsidRPr="00621610">
        <w:rPr>
          <w:szCs w:val="18"/>
        </w:rPr>
        <w:t>K</w:t>
      </w:r>
      <w:r w:rsidR="009738AD">
        <w:rPr>
          <w:szCs w:val="18"/>
        </w:rPr>
        <w:t xml:space="preserve"> </w:t>
      </w:r>
      <w:r w:rsidR="009738AD" w:rsidRPr="00621610">
        <w:rPr>
          <w:szCs w:val="18"/>
        </w:rPr>
        <w:t>Yasukawa &amp; S</w:t>
      </w:r>
      <w:r w:rsidR="009738AD">
        <w:rPr>
          <w:szCs w:val="18"/>
        </w:rPr>
        <w:t xml:space="preserve"> </w:t>
      </w:r>
      <w:r w:rsidR="009738AD" w:rsidRPr="00621610">
        <w:rPr>
          <w:szCs w:val="18"/>
        </w:rPr>
        <w:t>Black</w:t>
      </w:r>
      <w:r w:rsidR="009738AD">
        <w:rPr>
          <w:szCs w:val="18"/>
        </w:rPr>
        <w:t xml:space="preserve"> (</w:t>
      </w:r>
      <w:proofErr w:type="spellStart"/>
      <w:r w:rsidR="009738AD">
        <w:rPr>
          <w:szCs w:val="18"/>
        </w:rPr>
        <w:t>eds</w:t>
      </w:r>
      <w:proofErr w:type="spellEnd"/>
      <w:r w:rsidR="009738AD">
        <w:rPr>
          <w:szCs w:val="18"/>
        </w:rPr>
        <w:t>),</w:t>
      </w:r>
      <w:r w:rsidR="009738AD" w:rsidRPr="003155B8">
        <w:rPr>
          <w:i/>
          <w:szCs w:val="18"/>
        </w:rPr>
        <w:t xml:space="preserve"> </w:t>
      </w:r>
      <w:r w:rsidR="003155B8" w:rsidRPr="003155B8">
        <w:rPr>
          <w:i/>
          <w:szCs w:val="18"/>
        </w:rPr>
        <w:t>Beyond economic</w:t>
      </w:r>
      <w:r w:rsidR="003155B8">
        <w:rPr>
          <w:i/>
          <w:szCs w:val="18"/>
        </w:rPr>
        <w:t xml:space="preserve"> i</w:t>
      </w:r>
      <w:r w:rsidR="003155B8" w:rsidRPr="00621610">
        <w:rPr>
          <w:i/>
          <w:szCs w:val="18"/>
        </w:rPr>
        <w:t>nterests: critical perspective on adult literacy and numeracy in a globalised world</w:t>
      </w:r>
      <w:r w:rsidR="003155B8">
        <w:rPr>
          <w:i/>
          <w:szCs w:val="18"/>
        </w:rPr>
        <w:t>,</w:t>
      </w:r>
      <w:r w:rsidR="009738AD">
        <w:rPr>
          <w:szCs w:val="18"/>
        </w:rPr>
        <w:t xml:space="preserve"> </w:t>
      </w:r>
      <w:r w:rsidR="003155B8" w:rsidRPr="00621610">
        <w:rPr>
          <w:szCs w:val="18"/>
        </w:rPr>
        <w:t>Sense publishers, Rotterdam,</w:t>
      </w:r>
      <w:r w:rsidR="009738AD">
        <w:rPr>
          <w:szCs w:val="18"/>
        </w:rPr>
        <w:t xml:space="preserve"> pp.185—</w:t>
      </w:r>
      <w:r w:rsidR="003155B8">
        <w:rPr>
          <w:szCs w:val="18"/>
        </w:rPr>
        <w:t>203.</w:t>
      </w:r>
    </w:p>
    <w:p w:rsidR="00A106C0" w:rsidRPr="00401D60" w:rsidRDefault="00A106C0" w:rsidP="00A106C0">
      <w:pPr>
        <w:pStyle w:val="References"/>
      </w:pPr>
      <w:r w:rsidRPr="00401D60">
        <w:t xml:space="preserve">McKenna, R &amp; Fitzpatrick, L 2005, </w:t>
      </w:r>
      <w:proofErr w:type="gramStart"/>
      <w:r w:rsidRPr="003155B8">
        <w:rPr>
          <w:i/>
        </w:rPr>
        <w:t>Integrated</w:t>
      </w:r>
      <w:proofErr w:type="gramEnd"/>
      <w:r w:rsidRPr="003155B8">
        <w:rPr>
          <w:i/>
        </w:rPr>
        <w:t xml:space="preserve"> approaches to teaching adult literacy in Australia: </w:t>
      </w:r>
      <w:r w:rsidR="00AA399D">
        <w:rPr>
          <w:i/>
        </w:rPr>
        <w:t>a</w:t>
      </w:r>
      <w:r w:rsidRPr="003155B8">
        <w:rPr>
          <w:i/>
        </w:rPr>
        <w:t xml:space="preserve"> snapshot of practice in community services</w:t>
      </w:r>
      <w:r w:rsidRPr="00401D60">
        <w:t>, NCVER, Adelaide</w:t>
      </w:r>
      <w:r w:rsidR="00D85A4D">
        <w:t>.</w:t>
      </w:r>
    </w:p>
    <w:p w:rsidR="00A106C0" w:rsidRPr="00401D60" w:rsidRDefault="00A106C0" w:rsidP="00A106C0">
      <w:pPr>
        <w:pStyle w:val="References"/>
      </w:pPr>
      <w:r w:rsidRPr="00401D60">
        <w:t xml:space="preserve">Mackay, S, Burgoyne, U, Warwick, D &amp; </w:t>
      </w:r>
      <w:proofErr w:type="spellStart"/>
      <w:r w:rsidRPr="00401D60">
        <w:t>Cipollone</w:t>
      </w:r>
      <w:proofErr w:type="spellEnd"/>
      <w:r w:rsidRPr="00401D60">
        <w:t xml:space="preserve">, J 2006, </w:t>
      </w:r>
      <w:r w:rsidRPr="00AA399D">
        <w:rPr>
          <w:i/>
        </w:rPr>
        <w:t>Current and future professional development needs of the language, literacy and numeracy workforce</w:t>
      </w:r>
      <w:r w:rsidRPr="00401D60">
        <w:t>, NCVER, Adelaide</w:t>
      </w:r>
      <w:r w:rsidR="00D85A4D">
        <w:t>.</w:t>
      </w:r>
    </w:p>
    <w:p w:rsidR="00A106C0" w:rsidRPr="00401D60" w:rsidRDefault="00A106C0" w:rsidP="00A106C0">
      <w:pPr>
        <w:pStyle w:val="References"/>
      </w:pPr>
      <w:proofErr w:type="spellStart"/>
      <w:r w:rsidRPr="00401D60">
        <w:t>Mellar</w:t>
      </w:r>
      <w:proofErr w:type="spellEnd"/>
      <w:r w:rsidRPr="00401D60">
        <w:t xml:space="preserve">, H, </w:t>
      </w:r>
      <w:proofErr w:type="spellStart"/>
      <w:r w:rsidRPr="00401D60">
        <w:t>Kambouri</w:t>
      </w:r>
      <w:proofErr w:type="spellEnd"/>
      <w:r w:rsidRPr="00401D60">
        <w:t xml:space="preserve">, M, Logan, K, Betts, S, Nance, B &amp; Moriarty, V 2007, </w:t>
      </w:r>
      <w:r w:rsidR="009738AD">
        <w:rPr>
          <w:i/>
        </w:rPr>
        <w:t>Effective t</w:t>
      </w:r>
      <w:r w:rsidRPr="00AA399D">
        <w:rPr>
          <w:i/>
        </w:rPr>
        <w:t>eaching and learning using ICT</w:t>
      </w:r>
      <w:r w:rsidRPr="00401D60">
        <w:t xml:space="preserve">, </w:t>
      </w:r>
      <w:r w:rsidR="00AA399D" w:rsidRPr="00401D60">
        <w:t>National Research and Development Centre</w:t>
      </w:r>
      <w:r w:rsidRPr="00401D60">
        <w:t>, London</w:t>
      </w:r>
      <w:r w:rsidR="009738AD">
        <w:t>.</w:t>
      </w:r>
    </w:p>
    <w:p w:rsidR="00A106C0" w:rsidRPr="00401D60" w:rsidRDefault="00A106C0" w:rsidP="00A106C0">
      <w:pPr>
        <w:pStyle w:val="References"/>
      </w:pPr>
      <w:r w:rsidRPr="00401D60">
        <w:t>Mer</w:t>
      </w:r>
      <w:r w:rsidR="00AA399D">
        <w:t>rifield, J</w:t>
      </w:r>
      <w:r w:rsidR="004A65CA">
        <w:t xml:space="preserve"> </w:t>
      </w:r>
      <w:r w:rsidR="00AA399D">
        <w:t>2012, </w:t>
      </w:r>
      <w:r w:rsidR="00AA399D" w:rsidRPr="00AA399D">
        <w:rPr>
          <w:i/>
        </w:rPr>
        <w:t>Ecologies of learning: how culture and context impact outcomes of workplace literacy and essential s</w:t>
      </w:r>
      <w:r w:rsidRPr="00AA399D">
        <w:rPr>
          <w:i/>
        </w:rPr>
        <w:t>kills</w:t>
      </w:r>
      <w:r w:rsidRPr="00401D60">
        <w:t>, Centre for Literacy of Quebec, Canada.</w:t>
      </w:r>
    </w:p>
    <w:p w:rsidR="00A106C0" w:rsidRPr="00401D60" w:rsidRDefault="00A106C0" w:rsidP="00A106C0">
      <w:pPr>
        <w:pStyle w:val="References"/>
      </w:pPr>
      <w:r w:rsidRPr="00401D60">
        <w:t xml:space="preserve">Misko, J 2006, </w:t>
      </w:r>
      <w:r w:rsidRPr="00AA399D">
        <w:rPr>
          <w:i/>
        </w:rPr>
        <w:t>Country background report: addressing the training and assessment needs of adults with low basic skills in Australia</w:t>
      </w:r>
      <w:r w:rsidRPr="00401D60">
        <w:t xml:space="preserve">, </w:t>
      </w:r>
      <w:r w:rsidR="009738AD">
        <w:t>OECD</w:t>
      </w:r>
      <w:r w:rsidRPr="00401D60">
        <w:t xml:space="preserve"> Centre for Educational Research and Innovation &amp; </w:t>
      </w:r>
      <w:r w:rsidR="00AA399D">
        <w:t>NCVER</w:t>
      </w:r>
      <w:r w:rsidRPr="00401D60">
        <w:t>, OECD, Paris, viewed Jan</w:t>
      </w:r>
      <w:r w:rsidR="003B76B3">
        <w:t>uary</w:t>
      </w:r>
      <w:r w:rsidRPr="00401D60">
        <w:t xml:space="preserve"> 2016, &lt;https://www.oecd.org/dataoecd/60/44/37038515.pdf&gt;.</w:t>
      </w:r>
    </w:p>
    <w:p w:rsidR="00A106C0" w:rsidRPr="00401D60" w:rsidRDefault="00A106C0" w:rsidP="00A106C0">
      <w:pPr>
        <w:pStyle w:val="References"/>
      </w:pPr>
      <w:r w:rsidRPr="00401D60">
        <w:t xml:space="preserve">Morton, T, McGuire, T &amp; </w:t>
      </w:r>
      <w:proofErr w:type="spellStart"/>
      <w:r w:rsidRPr="00401D60">
        <w:t>Baynham</w:t>
      </w:r>
      <w:proofErr w:type="spellEnd"/>
      <w:r w:rsidRPr="00401D60">
        <w:t>, M</w:t>
      </w:r>
      <w:r w:rsidR="004A65CA">
        <w:t xml:space="preserve"> </w:t>
      </w:r>
      <w:r w:rsidRPr="00401D60">
        <w:t xml:space="preserve">2006, </w:t>
      </w:r>
      <w:r w:rsidRPr="00AA399D">
        <w:rPr>
          <w:i/>
        </w:rPr>
        <w:t>A literature review of research on teacher education in adult literacy, numeracy and ESOL</w:t>
      </w:r>
      <w:r w:rsidRPr="00401D60">
        <w:t xml:space="preserve">, </w:t>
      </w:r>
      <w:r w:rsidR="00D85A4D">
        <w:t>viewed</w:t>
      </w:r>
      <w:r w:rsidRPr="00401D60">
        <w:t xml:space="preserve"> December 2015,</w:t>
      </w:r>
      <w:r w:rsidR="003B76B3">
        <w:t xml:space="preserve"> </w:t>
      </w:r>
      <w:r w:rsidRPr="00401D60">
        <w:t>&lt;</w:t>
      </w:r>
      <w:hyperlink r:id="rId41" w:history="1">
        <w:r w:rsidRPr="00401D60">
          <w:t>http://www.nrdc.org.uk/?p=135</w:t>
        </w:r>
      </w:hyperlink>
      <w:r w:rsidRPr="00401D60">
        <w:t>&gt;</w:t>
      </w:r>
      <w:r w:rsidR="00D85A4D">
        <w:t>,</w:t>
      </w:r>
      <w:r w:rsidR="00D85A4D" w:rsidRPr="00D85A4D">
        <w:t xml:space="preserve"> </w:t>
      </w:r>
      <w:r w:rsidR="00D85A4D" w:rsidRPr="00401D60">
        <w:t>National Research and Dev</w:t>
      </w:r>
      <w:r w:rsidR="00D85A4D">
        <w:t>elopment Centre, London.</w:t>
      </w:r>
    </w:p>
    <w:p w:rsidR="00A106C0" w:rsidRPr="00401D60" w:rsidRDefault="00A106C0" w:rsidP="00A106C0">
      <w:pPr>
        <w:pStyle w:val="References"/>
      </w:pPr>
      <w:r w:rsidRPr="00401D60">
        <w:t>Murray, S &amp; Mitche</w:t>
      </w:r>
      <w:r w:rsidR="00D85A4D">
        <w:t>ll, J 2013, ‘“</w:t>
      </w:r>
      <w:r w:rsidR="003B76B3">
        <w:t>I want to be here”</w:t>
      </w:r>
      <w:r w:rsidRPr="00401D60">
        <w:t xml:space="preserve">: </w:t>
      </w:r>
      <w:r w:rsidR="00D85A4D">
        <w:t>e</w:t>
      </w:r>
      <w:r w:rsidRPr="00401D60">
        <w:t xml:space="preserve">arly school leavers re-engage in study at TAFE’, </w:t>
      </w:r>
      <w:r w:rsidRPr="00AA399D">
        <w:rPr>
          <w:i/>
        </w:rPr>
        <w:t xml:space="preserve">Youth Studies Australia, </w:t>
      </w:r>
      <w:r w:rsidRPr="003B76B3">
        <w:t>vol.32</w:t>
      </w:r>
      <w:r w:rsidR="003B76B3">
        <w:t>, no.2, pp.13—</w:t>
      </w:r>
      <w:r w:rsidRPr="00401D60">
        <w:t>20.</w:t>
      </w:r>
    </w:p>
    <w:p w:rsidR="00A106C0" w:rsidRPr="00401D60" w:rsidRDefault="00A106C0" w:rsidP="00A106C0">
      <w:pPr>
        <w:pStyle w:val="References"/>
      </w:pPr>
      <w:r w:rsidRPr="00401D60">
        <w:t xml:space="preserve">National Board of Employment, Education and Training 1995, </w:t>
      </w:r>
      <w:r w:rsidRPr="00AA399D">
        <w:rPr>
          <w:i/>
        </w:rPr>
        <w:t>Teacher education in English language and literacy: preservice and in</w:t>
      </w:r>
      <w:r w:rsidR="00AA399D" w:rsidRPr="00AA399D">
        <w:rPr>
          <w:i/>
        </w:rPr>
        <w:t>-</w:t>
      </w:r>
      <w:r w:rsidRPr="00AA399D">
        <w:rPr>
          <w:i/>
        </w:rPr>
        <w:t>service teacher education in both school and adult education contexts, in the fields of English literacy and English as a second language,</w:t>
      </w:r>
      <w:r w:rsidRPr="00401D60">
        <w:t xml:space="preserve"> Australian Government Publishing Service, Canberra, ACT.</w:t>
      </w:r>
    </w:p>
    <w:p w:rsidR="00A106C0" w:rsidRPr="00401D60" w:rsidRDefault="00A106C0" w:rsidP="00A106C0">
      <w:pPr>
        <w:pStyle w:val="References"/>
      </w:pPr>
      <w:r w:rsidRPr="00401D60">
        <w:t xml:space="preserve">National Foundation Skills Strategy </w:t>
      </w:r>
      <w:r w:rsidR="00AA399D">
        <w:t xml:space="preserve">(NFSS) 2015, </w:t>
      </w:r>
      <w:r w:rsidR="00AA399D" w:rsidRPr="00AA399D">
        <w:rPr>
          <w:i/>
        </w:rPr>
        <w:t>Foundation Skills q</w:t>
      </w:r>
      <w:r w:rsidRPr="00AA399D">
        <w:rPr>
          <w:i/>
        </w:rPr>
        <w:t>ualificat</w:t>
      </w:r>
      <w:r w:rsidR="00AA399D" w:rsidRPr="00AA399D">
        <w:rPr>
          <w:i/>
        </w:rPr>
        <w:t>ions s</w:t>
      </w:r>
      <w:r w:rsidRPr="00AA399D">
        <w:rPr>
          <w:i/>
        </w:rPr>
        <w:t>tocktake, National Foundation Skills Strategy Project</w:t>
      </w:r>
      <w:r w:rsidRPr="00401D60">
        <w:t>, viewed March 2016, &lt;http://www.statedevelopment.sa.gov.au/upload/NFSS/report/qualifications-stocktake.pdf?t=1457675049673&gt;.</w:t>
      </w:r>
    </w:p>
    <w:p w:rsidR="00A106C0" w:rsidRPr="00401D60" w:rsidRDefault="00A106C0" w:rsidP="00A106C0">
      <w:pPr>
        <w:pStyle w:val="References"/>
      </w:pPr>
      <w:r w:rsidRPr="00401D60">
        <w:t xml:space="preserve">National Research and Development Centre 2011, </w:t>
      </w:r>
      <w:r w:rsidRPr="00AA399D">
        <w:rPr>
          <w:i/>
        </w:rPr>
        <w:t xml:space="preserve">A literature review of international adult literacy policies, </w:t>
      </w:r>
      <w:r w:rsidRPr="00D85A4D">
        <w:t xml:space="preserve">National Adult Literacy Agency, </w:t>
      </w:r>
      <w:r w:rsidRPr="00401D60">
        <w:t xml:space="preserve">London, viewed </w:t>
      </w:r>
      <w:r w:rsidR="003B76B3">
        <w:t>December 2015</w:t>
      </w:r>
      <w:r w:rsidRPr="00401D60">
        <w:t>,</w:t>
      </w:r>
      <w:r w:rsidR="004A65CA">
        <w:t xml:space="preserve">                            </w:t>
      </w:r>
      <w:r w:rsidR="00D85A4D">
        <w:lastRenderedPageBreak/>
        <w:t>&lt;</w:t>
      </w:r>
      <w:hyperlink r:id="rId42" w:history="1">
        <w:r w:rsidR="00D85A4D" w:rsidRPr="00AF5A5F">
          <w:rPr>
            <w:rStyle w:val="Hyperlink"/>
            <w:sz w:val="18"/>
          </w:rPr>
          <w:t>https://www.nala.ie/sites/default/files/publications/A%20Literature%20Review%20of%20International%20Adult%20Literacy%20Policies%20110311_1.pdf</w:t>
        </w:r>
      </w:hyperlink>
      <w:r w:rsidR="00D85A4D">
        <w:t>&gt;.</w:t>
      </w:r>
    </w:p>
    <w:p w:rsidR="00A106C0" w:rsidRPr="00401D60" w:rsidRDefault="00A106C0" w:rsidP="00A106C0">
      <w:pPr>
        <w:pStyle w:val="References"/>
      </w:pPr>
      <w:r w:rsidRPr="00401D60">
        <w:t xml:space="preserve">Nelson, A 2010, ‘Recollections on the Association over five decades: AAAE in the 1960s’, </w:t>
      </w:r>
      <w:r w:rsidRPr="00AA399D">
        <w:rPr>
          <w:i/>
        </w:rPr>
        <w:t xml:space="preserve">Australian Journal of Adult Learning, </w:t>
      </w:r>
      <w:r w:rsidRPr="003B76B3">
        <w:t>vol.50,</w:t>
      </w:r>
      <w:r w:rsidR="003B76B3">
        <w:t xml:space="preserve"> </w:t>
      </w:r>
      <w:r w:rsidR="00D85A4D">
        <w:t xml:space="preserve">no.3, </w:t>
      </w:r>
      <w:r w:rsidR="003B76B3">
        <w:t>pp.529—</w:t>
      </w:r>
      <w:r w:rsidRPr="00401D60">
        <w:t>56.</w:t>
      </w:r>
    </w:p>
    <w:p w:rsidR="00A106C0" w:rsidRPr="00401D60" w:rsidRDefault="00A106C0" w:rsidP="00A106C0">
      <w:pPr>
        <w:pStyle w:val="References"/>
      </w:pPr>
      <w:r w:rsidRPr="00401D60">
        <w:t xml:space="preserve">Nonesuch, K 2006, </w:t>
      </w:r>
      <w:r w:rsidRPr="00AA399D">
        <w:rPr>
          <w:i/>
        </w:rPr>
        <w:t>M</w:t>
      </w:r>
      <w:r w:rsidR="003B76B3">
        <w:rPr>
          <w:i/>
        </w:rPr>
        <w:t>ore complicated than it seems: a</w:t>
      </w:r>
      <w:r w:rsidRPr="00AA399D">
        <w:rPr>
          <w:i/>
        </w:rPr>
        <w:t xml:space="preserve"> review of literature about adult numeracy instruction</w:t>
      </w:r>
      <w:r w:rsidRPr="00401D60">
        <w:t>, viewed December 2016,</w:t>
      </w:r>
      <w:r w:rsidR="003B76B3">
        <w:t xml:space="preserve"> </w:t>
      </w:r>
      <w:r w:rsidR="00D85A4D">
        <w:t>&lt;</w:t>
      </w:r>
      <w:hyperlink r:id="rId43" w:history="1">
        <w:r w:rsidR="00D85A4D" w:rsidRPr="00AF5A5F">
          <w:rPr>
            <w:rStyle w:val="Hyperlink"/>
            <w:sz w:val="18"/>
          </w:rPr>
          <w:t>https://lincs.ed.gov/professional-development/resource-collections/profile-180</w:t>
        </w:r>
      </w:hyperlink>
      <w:r w:rsidR="00D85A4D">
        <w:t xml:space="preserve">&gt;, </w:t>
      </w:r>
      <w:proofErr w:type="spellStart"/>
      <w:r w:rsidR="00D85A4D" w:rsidRPr="00401D60">
        <w:t>Malaspina</w:t>
      </w:r>
      <w:proofErr w:type="spellEnd"/>
      <w:r w:rsidR="00D85A4D" w:rsidRPr="00401D60">
        <w:t xml:space="preserve"> University-College Cowichan Campus, Canada</w:t>
      </w:r>
      <w:r w:rsidR="00D85A4D">
        <w:t>.</w:t>
      </w:r>
    </w:p>
    <w:p w:rsidR="00A106C0" w:rsidRPr="00401D60" w:rsidRDefault="00A106C0" w:rsidP="00A106C0">
      <w:pPr>
        <w:pStyle w:val="References"/>
      </w:pPr>
      <w:proofErr w:type="gramStart"/>
      <w:r w:rsidRPr="00401D60">
        <w:t xml:space="preserve">OECD </w:t>
      </w:r>
      <w:r w:rsidR="003B76B3">
        <w:t xml:space="preserve">(Organisation for Economic Co-operation and Development) </w:t>
      </w:r>
      <w:r w:rsidRPr="00401D60">
        <w:t xml:space="preserve">2008, ‘Overview of </w:t>
      </w:r>
      <w:r w:rsidR="00AA399D">
        <w:t>p</w:t>
      </w:r>
      <w:r w:rsidRPr="00401D60">
        <w:t xml:space="preserve">olicies and </w:t>
      </w:r>
      <w:r w:rsidR="00AA399D">
        <w:t>p</w:t>
      </w:r>
      <w:r w:rsidRPr="00401D60">
        <w:t xml:space="preserve">rogrammes for </w:t>
      </w:r>
      <w:r w:rsidR="00AA399D">
        <w:t>a</w:t>
      </w:r>
      <w:r w:rsidRPr="00401D60">
        <w:t xml:space="preserve">dult </w:t>
      </w:r>
      <w:r w:rsidR="00AA399D">
        <w:t>l</w:t>
      </w:r>
      <w:r w:rsidRPr="00401D60">
        <w:t xml:space="preserve">anguage, </w:t>
      </w:r>
      <w:r w:rsidR="00AA399D">
        <w:t>l</w:t>
      </w:r>
      <w:r w:rsidRPr="00401D60">
        <w:t xml:space="preserve">iteracy and </w:t>
      </w:r>
      <w:r w:rsidR="00AA399D">
        <w:t>n</w:t>
      </w:r>
      <w:r w:rsidRPr="00401D60">
        <w:t xml:space="preserve">umeracy (LLN) Learners’, </w:t>
      </w:r>
      <w:r w:rsidRPr="00AA399D">
        <w:rPr>
          <w:i/>
        </w:rPr>
        <w:t xml:space="preserve">Teaching, </w:t>
      </w:r>
      <w:r w:rsidR="00AA399D">
        <w:rPr>
          <w:i/>
        </w:rPr>
        <w:t>learning and assessment for a</w:t>
      </w:r>
      <w:r w:rsidRPr="00AA399D">
        <w:rPr>
          <w:i/>
        </w:rPr>
        <w:t xml:space="preserve">dults: </w:t>
      </w:r>
      <w:r w:rsidR="00AA399D">
        <w:rPr>
          <w:i/>
        </w:rPr>
        <w:t>improving f</w:t>
      </w:r>
      <w:r w:rsidRPr="00AA399D">
        <w:rPr>
          <w:i/>
        </w:rPr>
        <w:t xml:space="preserve">oundation </w:t>
      </w:r>
      <w:r w:rsidR="00AA399D">
        <w:rPr>
          <w:i/>
        </w:rPr>
        <w:t>s</w:t>
      </w:r>
      <w:r w:rsidRPr="00AA399D">
        <w:rPr>
          <w:i/>
        </w:rPr>
        <w:t>kills</w:t>
      </w:r>
      <w:r w:rsidRPr="00401D60">
        <w:t>, OECD Publishing, viewed January 2016, &lt;http://dx.doi.org/10.1787/172281885164&gt;</w:t>
      </w:r>
      <w:r w:rsidR="003B76B3">
        <w:t>.</w:t>
      </w:r>
      <w:proofErr w:type="gramEnd"/>
    </w:p>
    <w:p w:rsidR="00A106C0" w:rsidRPr="00401D60" w:rsidRDefault="003B76B3" w:rsidP="00A106C0">
      <w:pPr>
        <w:pStyle w:val="References"/>
      </w:pPr>
      <w:r>
        <w:t>——</w:t>
      </w:r>
      <w:r w:rsidR="00A106C0" w:rsidRPr="00401D60">
        <w:t xml:space="preserve">2011, </w:t>
      </w:r>
      <w:r w:rsidR="00A106C0" w:rsidRPr="00AA399D">
        <w:rPr>
          <w:i/>
        </w:rPr>
        <w:t>Literacy for life: further results fr</w:t>
      </w:r>
      <w:r w:rsidR="00AA399D">
        <w:rPr>
          <w:i/>
        </w:rPr>
        <w:t>om the adult literacy and life sk</w:t>
      </w:r>
      <w:r w:rsidR="00A106C0" w:rsidRPr="00AA399D">
        <w:rPr>
          <w:i/>
        </w:rPr>
        <w:t>ills survey: second international ALL report</w:t>
      </w:r>
      <w:r w:rsidR="00A106C0" w:rsidRPr="00401D60">
        <w:t>, viewed January 2016,</w:t>
      </w:r>
      <w:r w:rsidR="00D85A4D">
        <w:t xml:space="preserve"> &lt;</w:t>
      </w:r>
      <w:hyperlink r:id="rId44" w:history="1">
        <w:r w:rsidR="00D85A4D" w:rsidRPr="00AF5A5F">
          <w:rPr>
            <w:rStyle w:val="Hyperlink"/>
            <w:sz w:val="18"/>
          </w:rPr>
          <w:t>http://www.statcan.gc.ca/pub/89-604-x/89-604-x2011001-eng.pdf</w:t>
        </w:r>
      </w:hyperlink>
      <w:r w:rsidR="00D85A4D">
        <w:t xml:space="preserve">&gt;, </w:t>
      </w:r>
      <w:r w:rsidR="00D85A4D" w:rsidRPr="00401D60">
        <w:t>Stati</w:t>
      </w:r>
      <w:r w:rsidR="00D85A4D">
        <w:t>stics Canada, Ottawa.</w:t>
      </w:r>
    </w:p>
    <w:p w:rsidR="00A106C0" w:rsidRDefault="008435D6" w:rsidP="00A106C0">
      <w:pPr>
        <w:pStyle w:val="References"/>
      </w:pPr>
      <w:proofErr w:type="gramStart"/>
      <w:r>
        <w:t xml:space="preserve">Osmond, P 2016, </w:t>
      </w:r>
      <w:r w:rsidR="000A0DC5">
        <w:t>‘</w:t>
      </w:r>
      <w:r w:rsidR="00A106C0" w:rsidRPr="000A0DC5">
        <w:t>What happened to our community of practice?</w:t>
      </w:r>
      <w:proofErr w:type="gramEnd"/>
      <w:r w:rsidR="00A106C0" w:rsidRPr="000A0DC5">
        <w:t xml:space="preserve"> </w:t>
      </w:r>
      <w:proofErr w:type="gramStart"/>
      <w:r w:rsidR="00A106C0" w:rsidRPr="000A0DC5">
        <w:t xml:space="preserve">The early development of </w:t>
      </w:r>
      <w:r w:rsidR="003B76B3" w:rsidRPr="000A0DC5">
        <w:t>adult basic education</w:t>
      </w:r>
      <w:r w:rsidR="00A106C0" w:rsidRPr="000A0DC5">
        <w:t xml:space="preserve"> in NSW through the lens </w:t>
      </w:r>
      <w:r w:rsidRPr="000A0DC5">
        <w:t>of professional practice theory</w:t>
      </w:r>
      <w:r w:rsidR="000A0DC5">
        <w:t>’</w:t>
      </w:r>
      <w:r w:rsidR="00A106C0" w:rsidRPr="00401D60">
        <w:t xml:space="preserve">, </w:t>
      </w:r>
      <w:r w:rsidR="000A0DC5">
        <w:t>paper to the AVETRA annual conference, North Sydney Institute, 20—22 April.</w:t>
      </w:r>
      <w:proofErr w:type="gramEnd"/>
      <w:r w:rsidR="000A0DC5">
        <w:t xml:space="preserve"> </w:t>
      </w:r>
    </w:p>
    <w:p w:rsidR="00A106C0" w:rsidRPr="00401D60" w:rsidRDefault="00A106C0" w:rsidP="00A106C0">
      <w:pPr>
        <w:pStyle w:val="References"/>
      </w:pPr>
      <w:r w:rsidRPr="00401D60">
        <w:t>Perkins, K 2009</w:t>
      </w:r>
      <w:r w:rsidR="008435D6">
        <w:t xml:space="preserve">, </w:t>
      </w:r>
      <w:r w:rsidR="008435D6" w:rsidRPr="008435D6">
        <w:rPr>
          <w:i/>
        </w:rPr>
        <w:t>Adult literacy and numeracy: r</w:t>
      </w:r>
      <w:r w:rsidRPr="008435D6">
        <w:rPr>
          <w:i/>
        </w:rPr>
        <w:t>esearch and future strategy</w:t>
      </w:r>
      <w:r w:rsidRPr="00401D60">
        <w:t>, NCVER, Adelaide.</w:t>
      </w:r>
    </w:p>
    <w:p w:rsidR="00A106C0" w:rsidRPr="00401D60" w:rsidRDefault="00A106C0" w:rsidP="00A106C0">
      <w:pPr>
        <w:pStyle w:val="References"/>
      </w:pPr>
      <w:proofErr w:type="gramStart"/>
      <w:r w:rsidRPr="00401D60">
        <w:t xml:space="preserve">Quigley, BA 2006, </w:t>
      </w:r>
      <w:r w:rsidRPr="008435D6">
        <w:rPr>
          <w:i/>
        </w:rPr>
        <w:t>Building professional pride in literacy</w:t>
      </w:r>
      <w:r w:rsidRPr="00401D60">
        <w:t>, Krieger Publishing Company, Florida.</w:t>
      </w:r>
      <w:proofErr w:type="gramEnd"/>
    </w:p>
    <w:p w:rsidR="00A106C0" w:rsidRPr="00401D60" w:rsidRDefault="00A106C0" w:rsidP="00A106C0">
      <w:pPr>
        <w:pStyle w:val="References"/>
      </w:pPr>
      <w:proofErr w:type="gramStart"/>
      <w:r w:rsidRPr="00401D60">
        <w:t xml:space="preserve">Roberts, A 2013, ‘The Foundation Skills Training package’, </w:t>
      </w:r>
      <w:r w:rsidRPr="007D20FB">
        <w:rPr>
          <w:i/>
        </w:rPr>
        <w:t xml:space="preserve">Fine Print, </w:t>
      </w:r>
      <w:r w:rsidRPr="003B76B3">
        <w:t>vol.36</w:t>
      </w:r>
      <w:r w:rsidR="003B76B3">
        <w:t>, no.1, pp.14—</w:t>
      </w:r>
      <w:r w:rsidRPr="00401D60">
        <w:t>20.</w:t>
      </w:r>
      <w:proofErr w:type="gramEnd"/>
    </w:p>
    <w:p w:rsidR="00A106C0" w:rsidRPr="00401D60" w:rsidRDefault="00A106C0" w:rsidP="00A106C0">
      <w:pPr>
        <w:pStyle w:val="References"/>
      </w:pPr>
      <w:r w:rsidRPr="00401D60">
        <w:t xml:space="preserve">Roberts, A &amp; </w:t>
      </w:r>
      <w:proofErr w:type="spellStart"/>
      <w:r w:rsidRPr="00401D60">
        <w:t>Wignall</w:t>
      </w:r>
      <w:proofErr w:type="spellEnd"/>
      <w:r w:rsidRPr="00401D60">
        <w:t xml:space="preserve">, L 2010, </w:t>
      </w:r>
      <w:r w:rsidRPr="007D20FB">
        <w:rPr>
          <w:i/>
        </w:rPr>
        <w:t>Foundation skills in VE</w:t>
      </w:r>
      <w:r w:rsidR="007D20FB" w:rsidRPr="007D20FB">
        <w:rPr>
          <w:i/>
        </w:rPr>
        <w:t>T products for the 21st century</w:t>
      </w:r>
      <w:r w:rsidR="007D20FB">
        <w:t>,</w:t>
      </w:r>
      <w:r w:rsidRPr="00401D60">
        <w:t xml:space="preserve"> National Quality Council, Australia.</w:t>
      </w:r>
      <w:r w:rsidRPr="00401D60">
        <w:tab/>
      </w:r>
    </w:p>
    <w:p w:rsidR="00A106C0" w:rsidRPr="00401D60" w:rsidRDefault="00A106C0" w:rsidP="00A106C0">
      <w:pPr>
        <w:pStyle w:val="References"/>
      </w:pPr>
      <w:r w:rsidRPr="00401D60">
        <w:t xml:space="preserve">Ryan, T 1991, </w:t>
      </w:r>
      <w:r w:rsidR="004A65CA">
        <w:rPr>
          <w:i/>
        </w:rPr>
        <w:t>Adult b</w:t>
      </w:r>
      <w:r w:rsidRPr="004A65CA">
        <w:rPr>
          <w:i/>
        </w:rPr>
        <w:t xml:space="preserve">asic </w:t>
      </w:r>
      <w:r w:rsidR="004A65CA">
        <w:rPr>
          <w:i/>
        </w:rPr>
        <w:t>e</w:t>
      </w:r>
      <w:r w:rsidRPr="004A65CA">
        <w:rPr>
          <w:i/>
        </w:rPr>
        <w:t xml:space="preserve">ducation </w:t>
      </w:r>
      <w:r w:rsidR="004A65CA">
        <w:rPr>
          <w:i/>
        </w:rPr>
        <w:t>r</w:t>
      </w:r>
      <w:r w:rsidRPr="004A65CA">
        <w:rPr>
          <w:i/>
        </w:rPr>
        <w:t>esearch</w:t>
      </w:r>
      <w:r w:rsidRPr="00401D60">
        <w:t xml:space="preserve">, University of Technology, Sydney. </w:t>
      </w:r>
    </w:p>
    <w:p w:rsidR="00A106C0" w:rsidRPr="00401D60" w:rsidRDefault="00A106C0" w:rsidP="00A106C0">
      <w:pPr>
        <w:pStyle w:val="References"/>
      </w:pPr>
      <w:proofErr w:type="spellStart"/>
      <w:r w:rsidRPr="00401D60">
        <w:t>Saliga</w:t>
      </w:r>
      <w:proofErr w:type="spellEnd"/>
      <w:r w:rsidRPr="00401D60">
        <w:t xml:space="preserve">, L, </w:t>
      </w:r>
      <w:proofErr w:type="spellStart"/>
      <w:r w:rsidRPr="00401D60">
        <w:t>Daviso</w:t>
      </w:r>
      <w:proofErr w:type="spellEnd"/>
      <w:r w:rsidRPr="00401D60">
        <w:t xml:space="preserve">, A, Stuart, D &amp; </w:t>
      </w:r>
      <w:proofErr w:type="spellStart"/>
      <w:r w:rsidRPr="00401D60">
        <w:t>Pachnowski</w:t>
      </w:r>
      <w:proofErr w:type="spellEnd"/>
      <w:r w:rsidRPr="00401D60">
        <w:t xml:space="preserve">, L 2015, ‘Steps forward and back in adult numeracy teacher professional development: a reflection on a teacher workshop experience,’ </w:t>
      </w:r>
      <w:r w:rsidRPr="007D20FB">
        <w:rPr>
          <w:i/>
        </w:rPr>
        <w:t xml:space="preserve">Journal of </w:t>
      </w:r>
      <w:r w:rsidR="00D85A4D">
        <w:rPr>
          <w:i/>
        </w:rPr>
        <w:t>r</w:t>
      </w:r>
      <w:r w:rsidRPr="007D20FB">
        <w:rPr>
          <w:i/>
        </w:rPr>
        <w:t xml:space="preserve">esearch and </w:t>
      </w:r>
      <w:r w:rsidR="00D85A4D">
        <w:rPr>
          <w:i/>
        </w:rPr>
        <w:t>p</w:t>
      </w:r>
      <w:r w:rsidRPr="007D20FB">
        <w:rPr>
          <w:i/>
        </w:rPr>
        <w:t xml:space="preserve">ractice for </w:t>
      </w:r>
      <w:r w:rsidR="00D85A4D">
        <w:rPr>
          <w:i/>
        </w:rPr>
        <w:t>adult l</w:t>
      </w:r>
      <w:r w:rsidRPr="007D20FB">
        <w:rPr>
          <w:i/>
        </w:rPr>
        <w:t xml:space="preserve">iteracy, </w:t>
      </w:r>
      <w:r w:rsidR="00D85A4D">
        <w:rPr>
          <w:i/>
        </w:rPr>
        <w:t>s</w:t>
      </w:r>
      <w:r w:rsidRPr="007D20FB">
        <w:rPr>
          <w:i/>
        </w:rPr>
        <w:t xml:space="preserve">econdary, and </w:t>
      </w:r>
      <w:r w:rsidR="00D85A4D">
        <w:rPr>
          <w:i/>
        </w:rPr>
        <w:t>b</w:t>
      </w:r>
      <w:r w:rsidRPr="007D20FB">
        <w:rPr>
          <w:i/>
        </w:rPr>
        <w:t xml:space="preserve">asic </w:t>
      </w:r>
      <w:r w:rsidR="00D85A4D">
        <w:rPr>
          <w:i/>
        </w:rPr>
        <w:t>e</w:t>
      </w:r>
      <w:r w:rsidRPr="007D20FB">
        <w:rPr>
          <w:i/>
        </w:rPr>
        <w:t xml:space="preserve">ducation, </w:t>
      </w:r>
      <w:r w:rsidRPr="003B76B3">
        <w:t>vol.4,</w:t>
      </w:r>
      <w:r w:rsidR="003B76B3">
        <w:t xml:space="preserve"> no.1, pp.48—</w:t>
      </w:r>
      <w:r w:rsidRPr="00401D60">
        <w:t>54.</w:t>
      </w:r>
    </w:p>
    <w:p w:rsidR="00A106C0" w:rsidRPr="00401D60" w:rsidRDefault="007D20FB" w:rsidP="00A106C0">
      <w:pPr>
        <w:pStyle w:val="References"/>
      </w:pPr>
      <w:proofErr w:type="spellStart"/>
      <w:r>
        <w:t>Scheeres</w:t>
      </w:r>
      <w:proofErr w:type="spellEnd"/>
      <w:r>
        <w:t xml:space="preserve">, H, </w:t>
      </w:r>
      <w:proofErr w:type="spellStart"/>
      <w:r>
        <w:t>Gonczi</w:t>
      </w:r>
      <w:proofErr w:type="spellEnd"/>
      <w:r>
        <w:t xml:space="preserve">, </w:t>
      </w:r>
      <w:r w:rsidR="004A65CA">
        <w:t xml:space="preserve">A, Hager, P, </w:t>
      </w:r>
      <w:r w:rsidR="00A106C0" w:rsidRPr="00401D60">
        <w:t xml:space="preserve">Morley-Warner, T 1993, </w:t>
      </w:r>
      <w:proofErr w:type="gramStart"/>
      <w:r w:rsidR="00A106C0" w:rsidRPr="007D20FB">
        <w:rPr>
          <w:i/>
        </w:rPr>
        <w:t>The</w:t>
      </w:r>
      <w:proofErr w:type="gramEnd"/>
      <w:r w:rsidR="00A106C0" w:rsidRPr="007D20FB">
        <w:rPr>
          <w:i/>
        </w:rPr>
        <w:t xml:space="preserve"> adult basic education profession and competence: promoting best practice</w:t>
      </w:r>
      <w:r w:rsidR="00A106C0" w:rsidRPr="00401D60">
        <w:t>, University of Technology, Sydney.</w:t>
      </w:r>
    </w:p>
    <w:p w:rsidR="00A106C0" w:rsidRPr="00401D60" w:rsidRDefault="00FC27C1" w:rsidP="00A106C0">
      <w:pPr>
        <w:pStyle w:val="References"/>
      </w:pPr>
      <w:proofErr w:type="gramStart"/>
      <w:r>
        <w:t>Standing Council on Tertiary Education, Skills and Employment</w:t>
      </w:r>
      <w:r w:rsidR="00A106C0" w:rsidRPr="00401D60">
        <w:t xml:space="preserve"> </w:t>
      </w:r>
      <w:r w:rsidR="00D85A4D">
        <w:t xml:space="preserve">(SCOTESE) </w:t>
      </w:r>
      <w:r w:rsidR="00A106C0" w:rsidRPr="00401D60">
        <w:t xml:space="preserve">2012, </w:t>
      </w:r>
      <w:r w:rsidR="00A106C0" w:rsidRPr="007D20FB">
        <w:rPr>
          <w:i/>
        </w:rPr>
        <w:t>National foundation skills strategy for adults</w:t>
      </w:r>
      <w:r w:rsidR="00A106C0" w:rsidRPr="00401D60">
        <w:t>, Australian Government Department of Industry, Canberra.</w:t>
      </w:r>
      <w:proofErr w:type="gramEnd"/>
    </w:p>
    <w:p w:rsidR="00A106C0" w:rsidRPr="00401D60" w:rsidRDefault="003B76B3" w:rsidP="00A106C0">
      <w:pPr>
        <w:pStyle w:val="References"/>
      </w:pPr>
      <w:r>
        <w:t>——</w:t>
      </w:r>
      <w:r w:rsidR="00A106C0" w:rsidRPr="00401D60">
        <w:t xml:space="preserve">2013, </w:t>
      </w:r>
      <w:r w:rsidR="00A106C0" w:rsidRPr="007D20FB">
        <w:rPr>
          <w:i/>
        </w:rPr>
        <w:t>Scoping a Foundation Skills Professional Standards Framework: consultation paper</w:t>
      </w:r>
      <w:r w:rsidR="00A106C0" w:rsidRPr="00401D60">
        <w:t>, SCOTESE, Brisbane, viewed May 2016, &lt;http://www.acal.edu.au/downloads/FSPSF%20Consultation%20Paper%20200813-1.pdf&gt;.</w:t>
      </w:r>
    </w:p>
    <w:p w:rsidR="00A106C0" w:rsidRPr="00401D60" w:rsidRDefault="00A106C0" w:rsidP="00A106C0">
      <w:pPr>
        <w:pStyle w:val="References"/>
      </w:pPr>
      <w:r w:rsidRPr="00401D60">
        <w:t xml:space="preserve">Searle, J 2004, ‘Policy silos and red ochre men: an examination of a decade of adult literacy policy and program development In Australia’, </w:t>
      </w:r>
      <w:r w:rsidRPr="007D20FB">
        <w:rPr>
          <w:i/>
        </w:rPr>
        <w:t xml:space="preserve">Journal of Vocational Education and Training, </w:t>
      </w:r>
      <w:r w:rsidRPr="003B76B3">
        <w:t>vol.56</w:t>
      </w:r>
      <w:r w:rsidR="003B76B3">
        <w:t>, no.1, pp.81—</w:t>
      </w:r>
      <w:r w:rsidRPr="00401D60">
        <w:t>96.</w:t>
      </w:r>
    </w:p>
    <w:p w:rsidR="00A106C0" w:rsidRPr="00401D60" w:rsidRDefault="00A106C0" w:rsidP="00A106C0">
      <w:pPr>
        <w:pStyle w:val="References"/>
      </w:pPr>
      <w:r w:rsidRPr="00401D60">
        <w:t xml:space="preserve">Smith, C, </w:t>
      </w:r>
      <w:proofErr w:type="spellStart"/>
      <w:r w:rsidRPr="00401D60">
        <w:t>Bingman</w:t>
      </w:r>
      <w:proofErr w:type="spellEnd"/>
      <w:r w:rsidRPr="00401D60">
        <w:t xml:space="preserve">, B, &amp; Beall, K 2007, </w:t>
      </w:r>
      <w:r w:rsidRPr="007D20FB">
        <w:rPr>
          <w:i/>
        </w:rPr>
        <w:t>Research utilization in the field of adult learning and literacy: lessons learned by NCSALL about connecting practice, policy and research</w:t>
      </w:r>
      <w:r w:rsidRPr="00401D60">
        <w:t xml:space="preserve">, </w:t>
      </w:r>
      <w:r w:rsidR="000C446B">
        <w:t>viewed</w:t>
      </w:r>
      <w:r w:rsidRPr="00401D60">
        <w:t xml:space="preserve"> February 2016, </w:t>
      </w:r>
      <w:r w:rsidR="000C446B">
        <w:t>&lt;</w:t>
      </w:r>
      <w:hyperlink r:id="rId45" w:history="1">
        <w:r w:rsidR="000C446B" w:rsidRPr="00AF5A5F">
          <w:rPr>
            <w:rStyle w:val="Hyperlink"/>
            <w:sz w:val="18"/>
          </w:rPr>
          <w:t>http://www.ncsall.net/index.html@id=652.html</w:t>
        </w:r>
      </w:hyperlink>
      <w:r w:rsidR="000C446B">
        <w:t xml:space="preserve">&gt;, </w:t>
      </w:r>
      <w:r w:rsidR="000C446B" w:rsidRPr="00401D60">
        <w:t xml:space="preserve">NCSALL, Cambridge, </w:t>
      </w:r>
      <w:r w:rsidR="000C446B" w:rsidRPr="000C446B">
        <w:t>Massachusetts</w:t>
      </w:r>
      <w:r w:rsidR="000C446B">
        <w:t>.</w:t>
      </w:r>
    </w:p>
    <w:p w:rsidR="00A106C0" w:rsidRPr="00401D60" w:rsidRDefault="00A106C0" w:rsidP="00A106C0">
      <w:pPr>
        <w:pStyle w:val="References"/>
      </w:pPr>
      <w:r w:rsidRPr="00401D60">
        <w:t>Smith, E, Yasukawa, K &amp; Hodge, S 2015, ‘Australian VET teacher education: what is the benefit of pedagogical studies at university for VET teachers?</w:t>
      </w:r>
      <w:proofErr w:type="gramStart"/>
      <w:r w:rsidRPr="00401D60">
        <w:t>’,</w:t>
      </w:r>
      <w:proofErr w:type="gramEnd"/>
      <w:r w:rsidRPr="00401D60">
        <w:t xml:space="preserve"> </w:t>
      </w:r>
      <w:proofErr w:type="spellStart"/>
      <w:r w:rsidRPr="007D20FB">
        <w:rPr>
          <w:i/>
        </w:rPr>
        <w:t>TVET@Asia</w:t>
      </w:r>
      <w:proofErr w:type="spellEnd"/>
      <w:r w:rsidRPr="00401D60">
        <w:t xml:space="preserve">, issue 5, </w:t>
      </w:r>
      <w:r w:rsidR="003B76B3">
        <w:t>pp.1—</w:t>
      </w:r>
      <w:r w:rsidR="004A65CA">
        <w:t>15, viewed March 2016, &lt;</w:t>
      </w:r>
      <w:r w:rsidR="004A65CA" w:rsidRPr="00401D60">
        <w:t>http://www.tvet-online.asia/issue5/smith_etal_tvet5.pdf</w:t>
      </w:r>
      <w:r w:rsidR="004A65CA">
        <w:t>&gt;</w:t>
      </w:r>
      <w:r w:rsidR="003B76B3">
        <w:t>.</w:t>
      </w:r>
      <w:r w:rsidR="004A65CA">
        <w:t xml:space="preserve">                                                </w:t>
      </w:r>
    </w:p>
    <w:p w:rsidR="00A106C0" w:rsidRPr="00401D60" w:rsidRDefault="007D20FB" w:rsidP="00A106C0">
      <w:pPr>
        <w:pStyle w:val="References"/>
      </w:pPr>
      <w:r>
        <w:t xml:space="preserve">St Clair, R 2008, ‘Reading, writing, and relationships: human and social capital in family literacy programs’, </w:t>
      </w:r>
      <w:r w:rsidR="00A106C0" w:rsidRPr="007D20FB">
        <w:rPr>
          <w:i/>
        </w:rPr>
        <w:t>Adult Basic Education and Literacy Journal, </w:t>
      </w:r>
      <w:r w:rsidR="00A106C0" w:rsidRPr="003B76B3">
        <w:t>vol.2</w:t>
      </w:r>
      <w:r w:rsidR="003B76B3">
        <w:t>, no.2, pp.84—</w:t>
      </w:r>
      <w:r w:rsidR="00A106C0" w:rsidRPr="00401D60">
        <w:t>93.</w:t>
      </w:r>
    </w:p>
    <w:p w:rsidR="00A106C0" w:rsidRDefault="00A106C0" w:rsidP="00A106C0">
      <w:pPr>
        <w:pStyle w:val="References"/>
      </w:pPr>
      <w:r w:rsidRPr="00401D60">
        <w:t>Swain, J &amp; Swan, M 2009</w:t>
      </w:r>
      <w:r w:rsidR="003B76B3">
        <w:t>,</w:t>
      </w:r>
      <w:r w:rsidRPr="00401D60">
        <w:t xml:space="preserve"> ‘Teachers’ attempts to integrate research‐based principles into the teaching of numeracy with post‐16 learners’, </w:t>
      </w:r>
      <w:r w:rsidRPr="007D20FB">
        <w:rPr>
          <w:i/>
        </w:rPr>
        <w:t xml:space="preserve">Research in Post-Compulsory Education, </w:t>
      </w:r>
      <w:r w:rsidRPr="003B76B3">
        <w:t>vol.14</w:t>
      </w:r>
      <w:r w:rsidR="003B76B3">
        <w:t>, no.1, pp.75—</w:t>
      </w:r>
      <w:r w:rsidRPr="00401D60">
        <w:t>92.</w:t>
      </w:r>
    </w:p>
    <w:p w:rsidR="009738AD" w:rsidRPr="00401D60" w:rsidRDefault="009738AD" w:rsidP="009738AD">
      <w:pPr>
        <w:pStyle w:val="References"/>
      </w:pPr>
      <w:r>
        <w:t xml:space="preserve">Tasmanian </w:t>
      </w:r>
      <w:r w:rsidRPr="00401D60">
        <w:t>Department of Educ</w:t>
      </w:r>
      <w:r>
        <w:t xml:space="preserve">ation &amp; LINC Tasmania, 2015, </w:t>
      </w:r>
      <w:r w:rsidRPr="00FE63B3">
        <w:rPr>
          <w:i/>
        </w:rPr>
        <w:t>Tasmanian Adult Literacy</w:t>
      </w:r>
      <w:r w:rsidR="003B76B3">
        <w:rPr>
          <w:i/>
        </w:rPr>
        <w:t xml:space="preserve"> Action Plan Annual report 2014—</w:t>
      </w:r>
      <w:r w:rsidRPr="00FE63B3">
        <w:rPr>
          <w:i/>
        </w:rPr>
        <w:t>15</w:t>
      </w:r>
      <w:r w:rsidRPr="00401D60">
        <w:t>, viewed March 2016, &lt;</w:t>
      </w:r>
      <w:hyperlink r:id="rId46" w:history="1">
        <w:r w:rsidRPr="00401D60">
          <w:t>http://www.linc.tas.gov.au/literacy/Pages/literacy-policy.aspx</w:t>
        </w:r>
      </w:hyperlink>
      <w:r w:rsidRPr="00401D60">
        <w:t>&gt;</w:t>
      </w:r>
      <w:r w:rsidR="002E531E">
        <w:t>, Tasmania.</w:t>
      </w:r>
    </w:p>
    <w:p w:rsidR="00A106C0" w:rsidRPr="00401D60" w:rsidRDefault="00A106C0" w:rsidP="00A106C0">
      <w:pPr>
        <w:pStyle w:val="References"/>
      </w:pPr>
      <w:proofErr w:type="gramStart"/>
      <w:r w:rsidRPr="00401D60">
        <w:t xml:space="preserve">Tout, D 2014, </w:t>
      </w:r>
      <w:r w:rsidRPr="007D20FB">
        <w:rPr>
          <w:i/>
        </w:rPr>
        <w:t>Buried or not?</w:t>
      </w:r>
      <w:proofErr w:type="gramEnd"/>
      <w:r w:rsidRPr="007D20FB">
        <w:rPr>
          <w:i/>
        </w:rPr>
        <w:t xml:space="preserve"> What’s happened to numeracy? </w:t>
      </w:r>
      <w:proofErr w:type="gramStart"/>
      <w:r w:rsidRPr="00401D60">
        <w:t>ACER, viewed December 2015, &lt;</w:t>
      </w:r>
      <w:hyperlink r:id="rId47" w:history="1">
        <w:r w:rsidRPr="00401D60">
          <w:t>http://rd.acer.edu.au/article/buried-or-not-whats-happened-to-numeracy</w:t>
        </w:r>
      </w:hyperlink>
      <w:r w:rsidRPr="00401D60">
        <w:t>&gt;</w:t>
      </w:r>
      <w:r w:rsidR="003B76B3">
        <w:t>.</w:t>
      </w:r>
      <w:proofErr w:type="gramEnd"/>
    </w:p>
    <w:p w:rsidR="00A106C0" w:rsidRPr="00401D60" w:rsidRDefault="002E531E" w:rsidP="00A106C0">
      <w:pPr>
        <w:pStyle w:val="References"/>
      </w:pPr>
      <w:proofErr w:type="spellStart"/>
      <w:r>
        <w:t>Tummons</w:t>
      </w:r>
      <w:proofErr w:type="spellEnd"/>
      <w:r>
        <w:t>, J</w:t>
      </w:r>
      <w:r w:rsidR="00A106C0" w:rsidRPr="00401D60">
        <w:t xml:space="preserve"> 2014, ‘</w:t>
      </w:r>
      <w:proofErr w:type="gramStart"/>
      <w:r w:rsidR="00A106C0" w:rsidRPr="00401D60">
        <w:t>The</w:t>
      </w:r>
      <w:proofErr w:type="gramEnd"/>
      <w:r w:rsidR="00A106C0" w:rsidRPr="00401D60">
        <w:t xml:space="preserve"> textual representation of professionalism: </w:t>
      </w:r>
      <w:proofErr w:type="spellStart"/>
      <w:r w:rsidR="00A106C0" w:rsidRPr="00401D60">
        <w:t>problematising</w:t>
      </w:r>
      <w:proofErr w:type="spellEnd"/>
      <w:r w:rsidR="00A106C0" w:rsidRPr="00401D60">
        <w:t xml:space="preserve"> professional standards for teachers in the UK lifelong learning sector’, </w:t>
      </w:r>
      <w:r w:rsidR="00A106C0" w:rsidRPr="004A65CA">
        <w:rPr>
          <w:i/>
        </w:rPr>
        <w:t xml:space="preserve">Research in Post-Compulsory Education, </w:t>
      </w:r>
      <w:r w:rsidR="00A106C0" w:rsidRPr="003B76B3">
        <w:t>vol.19</w:t>
      </w:r>
      <w:r w:rsidR="003B76B3">
        <w:t>, no.1, pp.33—</w:t>
      </w:r>
      <w:r w:rsidR="00A106C0" w:rsidRPr="00401D60">
        <w:t>44.</w:t>
      </w:r>
    </w:p>
    <w:p w:rsidR="00A106C0" w:rsidRPr="00401D60" w:rsidRDefault="00A106C0" w:rsidP="00A106C0">
      <w:pPr>
        <w:pStyle w:val="References"/>
      </w:pPr>
      <w:proofErr w:type="spellStart"/>
      <w:r w:rsidRPr="00401D60">
        <w:t>Tusting</w:t>
      </w:r>
      <w:proofErr w:type="spellEnd"/>
      <w:r w:rsidRPr="00401D60">
        <w:t>, K 2009 ‘</w:t>
      </w:r>
      <w:r w:rsidR="003B76B3">
        <w:t>“</w:t>
      </w:r>
      <w:r w:rsidRPr="00401D60">
        <w:t xml:space="preserve">I am </w:t>
      </w:r>
      <w:r w:rsidR="003B76B3">
        <w:t>not a ‘good’</w:t>
      </w:r>
      <w:r w:rsidRPr="00401D60">
        <w:t xml:space="preserve"> teacher;</w:t>
      </w:r>
      <w:r w:rsidR="003B76B3">
        <w:t xml:space="preserve"> I don’t do all their paperwork”</w:t>
      </w:r>
      <w:r w:rsidRPr="00401D60">
        <w:t>: teacher resistance to accountability demands in the E</w:t>
      </w:r>
      <w:r w:rsidR="003B76B3">
        <w:t>nglish Skills for Life strategy</w:t>
      </w:r>
      <w:r w:rsidRPr="00401D60">
        <w:t>’</w:t>
      </w:r>
      <w:r w:rsidR="003B76B3">
        <w:t>,</w:t>
      </w:r>
      <w:r w:rsidRPr="00401D60">
        <w:t xml:space="preserve"> </w:t>
      </w:r>
      <w:r w:rsidRPr="004A65CA">
        <w:rPr>
          <w:i/>
        </w:rPr>
        <w:t xml:space="preserve">Literacy and Numeracy Studies, </w:t>
      </w:r>
      <w:r w:rsidRPr="003B76B3">
        <w:t>vol.17</w:t>
      </w:r>
      <w:r w:rsidRPr="00401D60">
        <w:t>, no.3, viewed February 2016,</w:t>
      </w:r>
      <w:r w:rsidR="004A65CA">
        <w:t xml:space="preserve"> </w:t>
      </w:r>
      <w:r w:rsidRPr="00401D60">
        <w:t>&lt;https://epress.lib.uts.edu.au/journals/index.php/lnj/article/view/1396&gt;.</w:t>
      </w:r>
    </w:p>
    <w:p w:rsidR="00A106C0" w:rsidRPr="00401D60" w:rsidRDefault="00A106C0" w:rsidP="00A106C0">
      <w:pPr>
        <w:pStyle w:val="References"/>
      </w:pPr>
      <w:r w:rsidRPr="00401D60">
        <w:lastRenderedPageBreak/>
        <w:t xml:space="preserve">UNESCO 1953, </w:t>
      </w:r>
      <w:r w:rsidRPr="004A65CA">
        <w:rPr>
          <w:i/>
        </w:rPr>
        <w:t>Progress of literacy in various countries: a preliminary statistical study of available census data since 1900</w:t>
      </w:r>
      <w:r w:rsidRPr="00401D60">
        <w:t xml:space="preserve">, viewed February 2016, </w:t>
      </w:r>
      <w:r w:rsidR="002E531E">
        <w:t>&lt;</w:t>
      </w:r>
      <w:hyperlink r:id="rId48" w:history="1">
        <w:r w:rsidR="002E531E" w:rsidRPr="00AF5A5F">
          <w:rPr>
            <w:rStyle w:val="Hyperlink"/>
            <w:sz w:val="18"/>
          </w:rPr>
          <w:t>http://unesdoc.unesco.org/images/0000/000028/002898EB.pdf</w:t>
        </w:r>
      </w:hyperlink>
      <w:r w:rsidR="002E531E">
        <w:t xml:space="preserve">&gt;, </w:t>
      </w:r>
      <w:r w:rsidR="002E531E" w:rsidRPr="00401D60">
        <w:t>UNESCO, Paris</w:t>
      </w:r>
      <w:r w:rsidR="002E531E">
        <w:t>.</w:t>
      </w:r>
    </w:p>
    <w:p w:rsidR="00A106C0" w:rsidRPr="00401D60" w:rsidRDefault="004A65CA" w:rsidP="00A106C0">
      <w:pPr>
        <w:pStyle w:val="References"/>
      </w:pPr>
      <w:r>
        <w:t>——</w:t>
      </w:r>
      <w:r w:rsidR="00A106C0" w:rsidRPr="00401D60">
        <w:t>2002, ‘Literacy: governments must assume their responsibilities says UNESCO director-general’, viewed January 2016, &lt;</w:t>
      </w:r>
      <w:hyperlink r:id="rId49" w:history="1">
        <w:r w:rsidR="00A106C0" w:rsidRPr="00401D60">
          <w:t>http://www.unesco.org/bpi/eng/unescopress/2002/02-65e.shtml</w:t>
        </w:r>
      </w:hyperlink>
      <w:r w:rsidR="00A106C0" w:rsidRPr="00401D60">
        <w:t xml:space="preserve">&gt;. </w:t>
      </w:r>
    </w:p>
    <w:p w:rsidR="00A106C0" w:rsidRPr="00401D60" w:rsidRDefault="00A106C0" w:rsidP="00A106C0">
      <w:pPr>
        <w:pStyle w:val="References"/>
      </w:pPr>
      <w:proofErr w:type="spellStart"/>
      <w:proofErr w:type="gramStart"/>
      <w:r w:rsidRPr="00401D60">
        <w:t>VicTESOL</w:t>
      </w:r>
      <w:proofErr w:type="spellEnd"/>
      <w:r w:rsidRPr="00401D60">
        <w:t xml:space="preserve"> 2016, </w:t>
      </w:r>
      <w:r w:rsidRPr="006E7FE8">
        <w:rPr>
          <w:i/>
        </w:rPr>
        <w:t>Careers in TESOL</w:t>
      </w:r>
      <w:r w:rsidR="003B76B3">
        <w:t xml:space="preserve">, viewed May 2016, </w:t>
      </w:r>
      <w:r w:rsidR="004A65CA">
        <w:t>&lt;</w:t>
      </w:r>
      <w:hyperlink r:id="rId50" w:history="1">
        <w:r w:rsidRPr="00401D60">
          <w:t>http://victesol.vic.edu.au/index.php/faqs/</w:t>
        </w:r>
      </w:hyperlink>
      <w:r w:rsidRPr="00401D60">
        <w:t>&gt;</w:t>
      </w:r>
      <w:r w:rsidR="003B76B3">
        <w:t>.</w:t>
      </w:r>
      <w:proofErr w:type="gramEnd"/>
    </w:p>
    <w:p w:rsidR="00A106C0" w:rsidRPr="00401D60" w:rsidRDefault="00A106C0" w:rsidP="00A106C0">
      <w:pPr>
        <w:pStyle w:val="References"/>
      </w:pPr>
      <w:proofErr w:type="spellStart"/>
      <w:r w:rsidRPr="00401D60">
        <w:t>Vorhaus</w:t>
      </w:r>
      <w:proofErr w:type="spellEnd"/>
      <w:r w:rsidRPr="00401D60">
        <w:t>, J,</w:t>
      </w:r>
      <w:r w:rsidR="004A65CA">
        <w:t xml:space="preserve"> </w:t>
      </w:r>
      <w:r w:rsidRPr="00401D60">
        <w:t xml:space="preserve">Litster, J, </w:t>
      </w:r>
      <w:proofErr w:type="spellStart"/>
      <w:r w:rsidRPr="00401D60">
        <w:t>Frearson</w:t>
      </w:r>
      <w:proofErr w:type="spellEnd"/>
      <w:r w:rsidRPr="00401D60">
        <w:t>, M</w:t>
      </w:r>
      <w:r w:rsidR="006E7FE8">
        <w:t xml:space="preserve"> &amp; Johnson, S</w:t>
      </w:r>
      <w:r w:rsidR="004A65CA">
        <w:t xml:space="preserve"> </w:t>
      </w:r>
      <w:r w:rsidR="006E7FE8">
        <w:t xml:space="preserve">2011, </w:t>
      </w:r>
      <w:r w:rsidR="006E7FE8" w:rsidRPr="006E7FE8">
        <w:rPr>
          <w:i/>
        </w:rPr>
        <w:t>Review of research and evaluation on improving adult literacy and numeracy s</w:t>
      </w:r>
      <w:r w:rsidRPr="006E7FE8">
        <w:rPr>
          <w:i/>
        </w:rPr>
        <w:t>kills</w:t>
      </w:r>
      <w:r w:rsidRPr="00401D60">
        <w:t xml:space="preserve">, Research paper number 61, </w:t>
      </w:r>
      <w:r w:rsidR="002E531E">
        <w:t>v</w:t>
      </w:r>
      <w:r w:rsidRPr="00401D60">
        <w:t>iewed March 2016,</w:t>
      </w:r>
      <w:r w:rsidR="004A65CA">
        <w:t xml:space="preserve">                                           </w:t>
      </w:r>
      <w:r w:rsidR="002E531E">
        <w:t>&lt;</w:t>
      </w:r>
      <w:hyperlink r:id="rId51" w:history="1">
        <w:r w:rsidR="002E531E" w:rsidRPr="00AF5A5F">
          <w:rPr>
            <w:rStyle w:val="Hyperlink"/>
            <w:sz w:val="18"/>
          </w:rPr>
          <w:t>https://www.gov.uk/government/uploads/system/uploads/attachment_data/file/32356/11-1418-review-research-on-improving-adult-skills.pdf</w:t>
        </w:r>
      </w:hyperlink>
      <w:r w:rsidR="002E531E">
        <w:t xml:space="preserve">&gt;, </w:t>
      </w:r>
      <w:r w:rsidR="002E531E" w:rsidRPr="00401D60">
        <w:t>Department for Business, Innovation and Skills, London,</w:t>
      </w:r>
    </w:p>
    <w:p w:rsidR="00A106C0" w:rsidRPr="00401D60" w:rsidRDefault="00A106C0" w:rsidP="00A106C0">
      <w:pPr>
        <w:pStyle w:val="References"/>
      </w:pPr>
      <w:r w:rsidRPr="00401D60">
        <w:t xml:space="preserve">Wagner, D &amp; </w:t>
      </w:r>
      <w:proofErr w:type="spellStart"/>
      <w:r w:rsidRPr="00401D60">
        <w:t>Venezky</w:t>
      </w:r>
      <w:proofErr w:type="spellEnd"/>
      <w:r w:rsidRPr="00401D60">
        <w:t xml:space="preserve">, R 1999, ‘Adult literacy: the next generation’, </w:t>
      </w:r>
      <w:r w:rsidRPr="006E7FE8">
        <w:rPr>
          <w:i/>
        </w:rPr>
        <w:t xml:space="preserve">Educational Researcher, </w:t>
      </w:r>
      <w:r w:rsidRPr="003B76B3">
        <w:t>vol.28</w:t>
      </w:r>
      <w:r w:rsidR="003B76B3">
        <w:t>, no.1, pp.21—</w:t>
      </w:r>
      <w:r w:rsidRPr="00401D60">
        <w:t>9</w:t>
      </w:r>
      <w:r w:rsidR="002E531E">
        <w:t>.</w:t>
      </w:r>
    </w:p>
    <w:p w:rsidR="00A106C0" w:rsidRPr="00401D60" w:rsidRDefault="00A106C0" w:rsidP="00A106C0">
      <w:pPr>
        <w:pStyle w:val="References"/>
      </w:pPr>
      <w:proofErr w:type="gramStart"/>
      <w:r w:rsidRPr="00401D60">
        <w:t>Wallace, D</w:t>
      </w:r>
      <w:r w:rsidR="003B76B3">
        <w:t xml:space="preserve"> 2010, ‘The grit in the oyster —</w:t>
      </w:r>
      <w:r w:rsidRPr="00401D60">
        <w:t xml:space="preserve"> does an appreciation of threshold concepts in an adult literacies teaching qualification result in pearls of practice’, </w:t>
      </w:r>
      <w:r w:rsidRPr="003B76B3">
        <w:rPr>
          <w:i/>
        </w:rPr>
        <w:t>Literacy and Numeracy Studies</w:t>
      </w:r>
      <w:r w:rsidR="003B76B3">
        <w:t>, vol.18, no.1, pp.3—</w:t>
      </w:r>
      <w:r w:rsidRPr="00401D60">
        <w:t>18.</w:t>
      </w:r>
      <w:proofErr w:type="gramEnd"/>
    </w:p>
    <w:p w:rsidR="00A106C0" w:rsidRPr="00401D60" w:rsidRDefault="00A106C0" w:rsidP="00A106C0">
      <w:pPr>
        <w:pStyle w:val="References"/>
      </w:pPr>
      <w:proofErr w:type="spellStart"/>
      <w:r w:rsidRPr="00401D60">
        <w:t>Wheelahan</w:t>
      </w:r>
      <w:proofErr w:type="spellEnd"/>
      <w:r w:rsidRPr="00401D60">
        <w:t xml:space="preserve">, L 2007, ‘How competency-based training locks the working class out of powerful knowledge: a modified </w:t>
      </w:r>
      <w:proofErr w:type="spellStart"/>
      <w:r w:rsidRPr="00401D60">
        <w:t>Bernsteinian</w:t>
      </w:r>
      <w:proofErr w:type="spellEnd"/>
      <w:r w:rsidRPr="00401D60">
        <w:t xml:space="preserve"> analysis’, </w:t>
      </w:r>
      <w:r w:rsidRPr="004A65CA">
        <w:rPr>
          <w:i/>
        </w:rPr>
        <w:t xml:space="preserve">British Journal of Sociology of Education, </w:t>
      </w:r>
      <w:r w:rsidRPr="003B76B3">
        <w:t>vol.28</w:t>
      </w:r>
      <w:r w:rsidRPr="00401D60">
        <w:t>, no.5, viewed March 2016, &lt;www.tandfonline.com/doi/pdf/10.1080/01425690701505540&gt;.</w:t>
      </w:r>
    </w:p>
    <w:p w:rsidR="00A106C0" w:rsidRPr="00401D60" w:rsidRDefault="00A106C0" w:rsidP="00A106C0">
      <w:pPr>
        <w:pStyle w:val="References"/>
      </w:pPr>
      <w:proofErr w:type="spellStart"/>
      <w:r w:rsidRPr="00401D60">
        <w:t>Wickert</w:t>
      </w:r>
      <w:proofErr w:type="spellEnd"/>
      <w:r w:rsidRPr="00401D60">
        <w:t xml:space="preserve">, R 1989, </w:t>
      </w:r>
      <w:r w:rsidRPr="006E7FE8">
        <w:rPr>
          <w:i/>
        </w:rPr>
        <w:t>No single measure: a survey of Australian adult literacy</w:t>
      </w:r>
      <w:r w:rsidRPr="00401D60">
        <w:t xml:space="preserve">, Department of Employment, Education and Training, Canberra. </w:t>
      </w:r>
    </w:p>
    <w:p w:rsidR="00A106C0" w:rsidRPr="00401D60" w:rsidRDefault="00A106C0" w:rsidP="00A106C0">
      <w:pPr>
        <w:pStyle w:val="References"/>
      </w:pPr>
      <w:proofErr w:type="spellStart"/>
      <w:r w:rsidRPr="00401D60">
        <w:t>Widin</w:t>
      </w:r>
      <w:proofErr w:type="spellEnd"/>
      <w:r w:rsidRPr="00401D60">
        <w:t xml:space="preserve">, J, Yasukawa, K &amp; </w:t>
      </w:r>
      <w:proofErr w:type="spellStart"/>
      <w:r w:rsidRPr="00401D60">
        <w:t>Chodkiewicz</w:t>
      </w:r>
      <w:proofErr w:type="spellEnd"/>
      <w:r w:rsidRPr="00401D60">
        <w:t>, A 2012,</w:t>
      </w:r>
      <w:r w:rsidR="002E531E">
        <w:t xml:space="preserve"> ‘</w:t>
      </w:r>
      <w:r w:rsidRPr="00401D60">
        <w:t>Teaching practice in the making: shaping and reshaping the field of adult language, literacy and numeracy teaching</w:t>
      </w:r>
      <w:r w:rsidR="002E531E">
        <w:t>’</w:t>
      </w:r>
      <w:r w:rsidRPr="00401D60">
        <w:t xml:space="preserve">, </w:t>
      </w:r>
      <w:r w:rsidRPr="006E7FE8">
        <w:rPr>
          <w:i/>
        </w:rPr>
        <w:t xml:space="preserve">Australian Journal of Adult Learning, </w:t>
      </w:r>
      <w:r w:rsidRPr="003B76B3">
        <w:t>vol.52</w:t>
      </w:r>
      <w:r w:rsidRPr="00401D60">
        <w:t>, no.1, pp.</w:t>
      </w:r>
      <w:r w:rsidR="003B76B3">
        <w:t>9—</w:t>
      </w:r>
      <w:r w:rsidR="004A65CA">
        <w:t>38</w:t>
      </w:r>
      <w:r w:rsidR="002E531E">
        <w:t>.</w:t>
      </w:r>
    </w:p>
    <w:p w:rsidR="00A106C0" w:rsidRPr="00401D60" w:rsidRDefault="00A106C0" w:rsidP="00A106C0">
      <w:pPr>
        <w:pStyle w:val="References"/>
      </w:pPr>
      <w:proofErr w:type="spellStart"/>
      <w:r w:rsidRPr="00401D60">
        <w:t>Wignall</w:t>
      </w:r>
      <w:proofErr w:type="spellEnd"/>
      <w:r w:rsidRPr="00401D60">
        <w:t xml:space="preserve">, L 2015, </w:t>
      </w:r>
      <w:r w:rsidRPr="006E7FE8">
        <w:rPr>
          <w:i/>
        </w:rPr>
        <w:t>Research to identify and qualify professional practice in foundation skills: final report</w:t>
      </w:r>
      <w:r w:rsidRPr="00401D60">
        <w:t>, National Foundation Skill Strategy Project, viewed January 2016,</w:t>
      </w:r>
      <w:r w:rsidR="004A65CA">
        <w:t xml:space="preserve">                                                          </w:t>
      </w:r>
      <w:r w:rsidR="00F15C32">
        <w:t xml:space="preserve"> &lt;</w:t>
      </w:r>
      <w:r w:rsidRPr="00401D60">
        <w:t xml:space="preserve">http://www.statedevelopment.sa.gov.au/upload/NFSS/report/pp-final-report.pdf&gt;. </w:t>
      </w:r>
    </w:p>
    <w:p w:rsidR="00A106C0" w:rsidRPr="00401D60" w:rsidRDefault="00A106C0" w:rsidP="00A106C0">
      <w:pPr>
        <w:pStyle w:val="References"/>
      </w:pPr>
      <w:proofErr w:type="spellStart"/>
      <w:r w:rsidRPr="004A65CA">
        <w:t>Windisch</w:t>
      </w:r>
      <w:proofErr w:type="spellEnd"/>
      <w:r w:rsidRPr="004A65CA">
        <w:t>,</w:t>
      </w:r>
      <w:r w:rsidR="00F15C32">
        <w:t xml:space="preserve"> </w:t>
      </w:r>
      <w:r w:rsidRPr="004A65CA">
        <w:t>H 201</w:t>
      </w:r>
      <w:r w:rsidR="004A65CA" w:rsidRPr="004A65CA">
        <w:t>5</w:t>
      </w:r>
      <w:r w:rsidRPr="004A65CA">
        <w:t>,</w:t>
      </w:r>
      <w:r w:rsidR="006E7FE8" w:rsidRPr="004A65CA">
        <w:t xml:space="preserve"> </w:t>
      </w:r>
      <w:r w:rsidRPr="004A65CA">
        <w:rPr>
          <w:i/>
        </w:rPr>
        <w:t>Adults with low</w:t>
      </w:r>
      <w:r w:rsidR="006E7FE8" w:rsidRPr="004A65CA">
        <w:rPr>
          <w:i/>
        </w:rPr>
        <w:t xml:space="preserve"> literacy and numeracy skills: a</w:t>
      </w:r>
      <w:r w:rsidRPr="004A65CA">
        <w:rPr>
          <w:i/>
        </w:rPr>
        <w:t xml:space="preserve"> literatur</w:t>
      </w:r>
      <w:r w:rsidR="006E7FE8" w:rsidRPr="004A65CA">
        <w:rPr>
          <w:i/>
        </w:rPr>
        <w:t>e review on policy</w:t>
      </w:r>
      <w:r w:rsidR="006E7FE8" w:rsidRPr="006E7FE8">
        <w:rPr>
          <w:i/>
        </w:rPr>
        <w:t xml:space="preserve"> intervention</w:t>
      </w:r>
      <w:r w:rsidR="00F15C32">
        <w:t>, OECD e</w:t>
      </w:r>
      <w:r w:rsidRPr="00401D60">
        <w:t xml:space="preserve">ducation </w:t>
      </w:r>
      <w:r w:rsidR="00F15C32" w:rsidRPr="00401D60">
        <w:t>working papers</w:t>
      </w:r>
      <w:r w:rsidRPr="00401D60">
        <w:t xml:space="preserve">, no.123, </w:t>
      </w:r>
      <w:r w:rsidR="00EB17CA">
        <w:t xml:space="preserve">viewed May 2016, </w:t>
      </w:r>
      <w:r w:rsidRPr="00401D60">
        <w:t>&lt;</w:t>
      </w:r>
      <w:hyperlink r:id="rId52" w:tgtFrame="_blank" w:tooltip="http://dx.doi.org/10.1787/5jrxnjdd3r5k-en" w:history="1">
        <w:r w:rsidRPr="00401D60">
          <w:t>http://dx.doi.org/10.1787/5jrxnjdd3r5k-en</w:t>
        </w:r>
      </w:hyperlink>
      <w:r w:rsidRPr="00401D60">
        <w:t>&gt;</w:t>
      </w:r>
      <w:r w:rsidR="002E531E">
        <w:t xml:space="preserve">, </w:t>
      </w:r>
      <w:r w:rsidR="002E531E" w:rsidRPr="00401D60">
        <w:t>OECD Publishing, Pa</w:t>
      </w:r>
      <w:r w:rsidR="002E531E">
        <w:t>ris.</w:t>
      </w:r>
    </w:p>
    <w:p w:rsidR="00A106C0" w:rsidRPr="00401D60" w:rsidRDefault="00A106C0" w:rsidP="00A106C0">
      <w:pPr>
        <w:pStyle w:val="References"/>
      </w:pPr>
      <w:r w:rsidRPr="00401D60">
        <w:t xml:space="preserve">Yasukawa, K 2010, ‘Educating critical mathematics educators: challenges for teacher educators’, in H </w:t>
      </w:r>
      <w:proofErr w:type="spellStart"/>
      <w:r w:rsidRPr="00401D60">
        <w:t>Alro</w:t>
      </w:r>
      <w:proofErr w:type="spellEnd"/>
      <w:r w:rsidRPr="00401D60">
        <w:t xml:space="preserve"> &amp; P Valero (</w:t>
      </w:r>
      <w:proofErr w:type="spellStart"/>
      <w:proofErr w:type="gramStart"/>
      <w:r w:rsidRPr="00401D60">
        <w:t>eds</w:t>
      </w:r>
      <w:proofErr w:type="spellEnd"/>
      <w:proofErr w:type="gramEnd"/>
      <w:r w:rsidRPr="00401D60">
        <w:t xml:space="preserve">), </w:t>
      </w:r>
      <w:r w:rsidRPr="006E7FE8">
        <w:rPr>
          <w:i/>
        </w:rPr>
        <w:t>Critical mathematics education: past present and future</w:t>
      </w:r>
      <w:r w:rsidRPr="00401D60">
        <w:t>, Sense</w:t>
      </w:r>
      <w:r w:rsidR="00F15C32">
        <w:t xml:space="preserve"> Publishers, Rotterdam, pp.209—</w:t>
      </w:r>
      <w:r w:rsidRPr="00401D60">
        <w:t xml:space="preserve">24. </w:t>
      </w:r>
    </w:p>
    <w:p w:rsidR="00A106C0" w:rsidRDefault="00A106C0" w:rsidP="00A106C0">
      <w:pPr>
        <w:pStyle w:val="References"/>
      </w:pPr>
      <w:r w:rsidRPr="003155B8">
        <w:t xml:space="preserve">Yasukawa, K &amp; Black, S 2016, ‘Policy </w:t>
      </w:r>
      <w:r w:rsidR="00F15C32" w:rsidRPr="003155B8">
        <w:t xml:space="preserve">making at a distance: a critical perspective </w:t>
      </w:r>
      <w:r w:rsidRPr="003155B8">
        <w:t xml:space="preserve">on Australia’s National </w:t>
      </w:r>
      <w:r w:rsidR="00F15C32">
        <w:t>Foundation Skills Strategy for a</w:t>
      </w:r>
      <w:r w:rsidRPr="003155B8">
        <w:t xml:space="preserve">dults’, </w:t>
      </w:r>
      <w:r w:rsidR="003155B8" w:rsidRPr="003155B8">
        <w:rPr>
          <w:szCs w:val="18"/>
        </w:rPr>
        <w:t xml:space="preserve">in </w:t>
      </w:r>
      <w:r w:rsidR="00F15C32" w:rsidRPr="00621610">
        <w:rPr>
          <w:szCs w:val="18"/>
        </w:rPr>
        <w:t>K</w:t>
      </w:r>
      <w:r w:rsidR="00F15C32">
        <w:rPr>
          <w:szCs w:val="18"/>
        </w:rPr>
        <w:t xml:space="preserve"> </w:t>
      </w:r>
      <w:r w:rsidR="00F15C32" w:rsidRPr="00621610">
        <w:rPr>
          <w:szCs w:val="18"/>
        </w:rPr>
        <w:t>Yasukawa &amp; S</w:t>
      </w:r>
      <w:r w:rsidR="00F15C32">
        <w:rPr>
          <w:szCs w:val="18"/>
        </w:rPr>
        <w:t xml:space="preserve"> </w:t>
      </w:r>
      <w:r w:rsidR="00F15C32" w:rsidRPr="00621610">
        <w:rPr>
          <w:szCs w:val="18"/>
        </w:rPr>
        <w:t>Black</w:t>
      </w:r>
      <w:r w:rsidR="00F15C32">
        <w:rPr>
          <w:szCs w:val="18"/>
        </w:rPr>
        <w:t xml:space="preserve"> (</w:t>
      </w:r>
      <w:proofErr w:type="spellStart"/>
      <w:proofErr w:type="gramStart"/>
      <w:r w:rsidR="00F15C32">
        <w:rPr>
          <w:szCs w:val="18"/>
        </w:rPr>
        <w:t>eds</w:t>
      </w:r>
      <w:proofErr w:type="spellEnd"/>
      <w:proofErr w:type="gramEnd"/>
      <w:r w:rsidR="00F15C32">
        <w:rPr>
          <w:szCs w:val="18"/>
        </w:rPr>
        <w:t>),</w:t>
      </w:r>
      <w:r w:rsidR="00F15C32" w:rsidRPr="003155B8">
        <w:rPr>
          <w:i/>
          <w:szCs w:val="18"/>
        </w:rPr>
        <w:t xml:space="preserve"> </w:t>
      </w:r>
      <w:r w:rsidR="003155B8" w:rsidRPr="003155B8">
        <w:rPr>
          <w:i/>
          <w:szCs w:val="18"/>
        </w:rPr>
        <w:t>Beyond economic interests: critical</w:t>
      </w:r>
      <w:r w:rsidR="003155B8" w:rsidRPr="00621610">
        <w:rPr>
          <w:i/>
          <w:szCs w:val="18"/>
        </w:rPr>
        <w:t xml:space="preserve"> perspective on adult literacy and numeracy in a globalised world</w:t>
      </w:r>
      <w:r w:rsidR="003155B8">
        <w:rPr>
          <w:i/>
          <w:szCs w:val="18"/>
        </w:rPr>
        <w:t>,</w:t>
      </w:r>
      <w:r w:rsidR="003155B8" w:rsidRPr="00621610">
        <w:rPr>
          <w:szCs w:val="18"/>
        </w:rPr>
        <w:t xml:space="preserve"> Sense publishers, Rotterdam,</w:t>
      </w:r>
      <w:r w:rsidR="003155B8">
        <w:rPr>
          <w:szCs w:val="18"/>
        </w:rPr>
        <w:t xml:space="preserve"> p</w:t>
      </w:r>
      <w:r w:rsidR="00F15C32">
        <w:rPr>
          <w:szCs w:val="18"/>
        </w:rPr>
        <w:t>p.19—</w:t>
      </w:r>
      <w:r w:rsidR="003155B8">
        <w:rPr>
          <w:szCs w:val="18"/>
        </w:rPr>
        <w:t>40.</w:t>
      </w:r>
    </w:p>
    <w:p w:rsidR="00A106C0" w:rsidRPr="00401D60" w:rsidRDefault="00A106C0" w:rsidP="00A106C0">
      <w:pPr>
        <w:pStyle w:val="References"/>
      </w:pPr>
      <w:r w:rsidRPr="00401D60">
        <w:t>Y</w:t>
      </w:r>
      <w:r w:rsidR="00F15C32">
        <w:t xml:space="preserve">in, M, </w:t>
      </w:r>
      <w:proofErr w:type="spellStart"/>
      <w:r w:rsidR="00F15C32">
        <w:t>Condelli</w:t>
      </w:r>
      <w:proofErr w:type="spellEnd"/>
      <w:r w:rsidR="00F15C32">
        <w:t xml:space="preserve">, L, </w:t>
      </w:r>
      <w:proofErr w:type="spellStart"/>
      <w:r w:rsidR="00F15C32">
        <w:t>Ogut</w:t>
      </w:r>
      <w:proofErr w:type="spellEnd"/>
      <w:r w:rsidR="00F15C32">
        <w:t>, B &amp;</w:t>
      </w:r>
      <w:r w:rsidRPr="00401D60">
        <w:t xml:space="preserve"> </w:t>
      </w:r>
      <w:proofErr w:type="spellStart"/>
      <w:r w:rsidRPr="00401D60">
        <w:t>Cronen</w:t>
      </w:r>
      <w:proofErr w:type="spellEnd"/>
      <w:r w:rsidRPr="00401D60">
        <w:t xml:space="preserve">, S 2013, </w:t>
      </w:r>
      <w:r w:rsidRPr="006E7FE8">
        <w:rPr>
          <w:i/>
        </w:rPr>
        <w:t>Teacher effectiveness in adult education: the importance of teacher background qualifications for student learning</w:t>
      </w:r>
      <w:r w:rsidRPr="00401D60">
        <w:t>,</w:t>
      </w:r>
      <w:r w:rsidR="002E531E">
        <w:t xml:space="preserve"> </w:t>
      </w:r>
      <w:r w:rsidRPr="00401D60">
        <w:t xml:space="preserve">viewed March 2016, </w:t>
      </w:r>
      <w:r w:rsidR="002E531E">
        <w:t>&lt;</w:t>
      </w:r>
      <w:hyperlink r:id="rId53" w:history="1">
        <w:r w:rsidR="002E531E" w:rsidRPr="00AF5A5F">
          <w:rPr>
            <w:rStyle w:val="Hyperlink"/>
            <w:sz w:val="18"/>
          </w:rPr>
          <w:t>http://www.air.org/our-work/archive/resource-type/report-19/resource-type/index-1491?page=2</w:t>
        </w:r>
      </w:hyperlink>
      <w:r w:rsidR="002E531E">
        <w:t xml:space="preserve">&gt;, </w:t>
      </w:r>
      <w:r w:rsidR="002E531E" w:rsidRPr="00401D60">
        <w:t>Ameri</w:t>
      </w:r>
      <w:r w:rsidR="002E531E">
        <w:t>can Institute for Research</w:t>
      </w:r>
      <w:r w:rsidR="002E531E" w:rsidRPr="00401D60">
        <w:t>, USA</w:t>
      </w:r>
      <w:r w:rsidR="002E531E">
        <w:t>.</w:t>
      </w:r>
    </w:p>
    <w:p w:rsidR="00A106C0" w:rsidRPr="0034004F" w:rsidRDefault="00A106C0" w:rsidP="00A106C0">
      <w:pPr>
        <w:pStyle w:val="References"/>
      </w:pPr>
    </w:p>
    <w:p w:rsidR="00A106C0" w:rsidRPr="0034004F" w:rsidRDefault="00A106C0" w:rsidP="0034004F">
      <w:pPr>
        <w:pStyle w:val="References"/>
        <w:spacing w:before="160"/>
      </w:pPr>
    </w:p>
    <w:p w:rsidR="00324917" w:rsidRDefault="00324917" w:rsidP="00324917">
      <w:pPr>
        <w:pStyle w:val="References"/>
        <w:rPr>
          <w:rFonts w:ascii="Tahoma" w:hAnsi="Tahoma" w:cs="Tahoma"/>
          <w:color w:val="000000"/>
          <w:kern w:val="28"/>
          <w:sz w:val="56"/>
          <w:szCs w:val="56"/>
        </w:rPr>
      </w:pPr>
      <w:r>
        <w:br w:type="page"/>
      </w:r>
    </w:p>
    <w:bookmarkEnd w:id="26"/>
    <w:bookmarkEnd w:id="57"/>
    <w:p w:rsidR="00462EE6" w:rsidRDefault="00462EE6">
      <w:pPr>
        <w:spacing w:before="0" w:line="240" w:lineRule="auto"/>
        <w:rPr>
          <w:noProof/>
        </w:rPr>
      </w:pPr>
      <w:r>
        <w:rPr>
          <w:noProof/>
        </w:rPr>
        <w:lastRenderedPageBreak/>
        <w:br w:type="page"/>
      </w:r>
    </w:p>
    <w:p w:rsidR="00606061" w:rsidRPr="009F3844" w:rsidRDefault="005C79AE" w:rsidP="00A93A9F">
      <w:pPr>
        <w:spacing w:before="0" w:line="240" w:lineRule="auto"/>
        <w:rPr>
          <w:noProof/>
        </w:rPr>
      </w:pPr>
      <w:r w:rsidRPr="00246BBF">
        <w:rPr>
          <w:noProof/>
          <w:lang w:eastAsia="en-AU"/>
        </w:rPr>
        <w:lastRenderedPageBreak/>
        <w:drawing>
          <wp:anchor distT="0" distB="0" distL="114300" distR="114300" simplePos="0" relativeHeight="251905024" behindDoc="0" locked="0" layoutInCell="1" allowOverlap="1" wp14:anchorId="02FB21AC" wp14:editId="77477635">
            <wp:simplePos x="0" y="0"/>
            <wp:positionH relativeFrom="column">
              <wp:posOffset>1880870</wp:posOffset>
            </wp:positionH>
            <wp:positionV relativeFrom="paragraph">
              <wp:posOffset>8884285</wp:posOffset>
            </wp:positionV>
            <wp:extent cx="141605" cy="152400"/>
            <wp:effectExtent l="0" t="0" r="0" b="0"/>
            <wp:wrapNone/>
            <wp:docPr id="59" name="Picture 1" descr="P:\PublicationComponents\logos\Social Media\Twitter_bla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Social Media\Twitter_blackbox.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605" cy="152400"/>
                    </a:xfrm>
                    <a:prstGeom prst="rect">
                      <a:avLst/>
                    </a:prstGeom>
                    <a:noFill/>
                    <a:ln w="9525">
                      <a:noFill/>
                      <a:miter lim="800000"/>
                      <a:headEnd/>
                      <a:tailEnd/>
                    </a:ln>
                  </pic:spPr>
                </pic:pic>
              </a:graphicData>
            </a:graphic>
          </wp:anchor>
        </w:drawing>
      </w:r>
      <w:r w:rsidRPr="00246BBF">
        <w:rPr>
          <w:noProof/>
          <w:lang w:eastAsia="en-AU"/>
        </w:rPr>
        <w:drawing>
          <wp:anchor distT="0" distB="0" distL="114300" distR="114300" simplePos="0" relativeHeight="251907072" behindDoc="0" locked="0" layoutInCell="1" allowOverlap="1" wp14:anchorId="33298563" wp14:editId="5AEEFA0F">
            <wp:simplePos x="0" y="0"/>
            <wp:positionH relativeFrom="column">
              <wp:posOffset>3262630</wp:posOffset>
            </wp:positionH>
            <wp:positionV relativeFrom="paragraph">
              <wp:posOffset>8890635</wp:posOffset>
            </wp:positionV>
            <wp:extent cx="139065" cy="152400"/>
            <wp:effectExtent l="0" t="0" r="0" b="0"/>
            <wp:wrapNone/>
            <wp:docPr id="60" name="Picture 60" descr="P:\PublicationComponents\logos\Social Media\InBug-16px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PublicationComponents\logos\Social Media\InBug-16px_0.png"/>
                    <pic:cNvPicPr>
                      <a:picLocks noChangeAspect="1" noChangeArrowheads="1"/>
                    </pic:cNvPicPr>
                  </pic:nvPicPr>
                  <pic:blipFill>
                    <a:blip r:embed="rId18" cstate="print">
                      <a:biLevel thresh="50000"/>
                      <a:extLst>
                        <a:ext uri="{28A0092B-C50C-407E-A947-70E740481C1C}">
                          <a14:useLocalDpi xmlns:a14="http://schemas.microsoft.com/office/drawing/2010/main" val="0"/>
                        </a:ext>
                      </a:extLst>
                    </a:blip>
                    <a:srcRect/>
                    <a:stretch>
                      <a:fillRect/>
                    </a:stretch>
                  </pic:blipFill>
                  <pic:spPr bwMode="auto">
                    <a:xfrm>
                      <a:off x="0" y="0"/>
                      <a:ext cx="139065" cy="152400"/>
                    </a:xfrm>
                    <a:prstGeom prst="rect">
                      <a:avLst/>
                    </a:prstGeom>
                    <a:noFill/>
                    <a:ln w="9525">
                      <a:noFill/>
                      <a:miter lim="800000"/>
                      <a:headEnd/>
                      <a:tailEnd/>
                    </a:ln>
                  </pic:spPr>
                </pic:pic>
              </a:graphicData>
            </a:graphic>
          </wp:anchor>
        </w:drawing>
      </w:r>
      <w:r>
        <w:rPr>
          <w:noProof/>
          <w:lang w:eastAsia="en-AU"/>
        </w:rPr>
        <mc:AlternateContent>
          <mc:Choice Requires="wps">
            <w:drawing>
              <wp:anchor distT="0" distB="0" distL="114300" distR="114300" simplePos="0" relativeHeight="251902976" behindDoc="0" locked="0" layoutInCell="1" allowOverlap="1" wp14:anchorId="1D9370D8" wp14:editId="3C5CC398">
                <wp:simplePos x="0" y="0"/>
                <wp:positionH relativeFrom="column">
                  <wp:posOffset>333375</wp:posOffset>
                </wp:positionH>
                <wp:positionV relativeFrom="paragraph">
                  <wp:posOffset>7743190</wp:posOffset>
                </wp:positionV>
                <wp:extent cx="5143500" cy="16383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163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25F" w:rsidRPr="006E0B9E" w:rsidRDefault="0037725F" w:rsidP="009F3844">
                            <w:pPr>
                              <w:jc w:val="right"/>
                              <w:rPr>
                                <w:rFonts w:ascii="Arial" w:hAnsi="Arial" w:cs="Arial"/>
                                <w:b/>
                              </w:rPr>
                            </w:pPr>
                            <w:r w:rsidRPr="006E0B9E">
                              <w:rPr>
                                <w:rFonts w:ascii="Arial" w:hAnsi="Arial" w:cs="Arial"/>
                                <w:b/>
                              </w:rPr>
                              <w:t>National Centre for Vocational Education Research</w:t>
                            </w:r>
                          </w:p>
                          <w:p w:rsidR="0037725F" w:rsidRPr="006E0B9E" w:rsidRDefault="0037725F" w:rsidP="009F3844">
                            <w:pPr>
                              <w:pStyle w:val="Imprint"/>
                              <w:spacing w:before="80"/>
                              <w:jc w:val="right"/>
                              <w:rPr>
                                <w:rFonts w:ascii="Arial" w:hAnsi="Arial" w:cs="Arial"/>
                                <w:color w:val="000000"/>
                              </w:rPr>
                            </w:pPr>
                            <w:r w:rsidRPr="006E0B9E">
                              <w:rPr>
                                <w:rFonts w:ascii="Arial" w:hAnsi="Arial" w:cs="Arial"/>
                                <w:color w:val="000000"/>
                              </w:rPr>
                              <w:t>Level 11, 33 King William Street, Adelaide, SA 5000</w:t>
                            </w:r>
                            <w:r w:rsidRPr="006E0B9E">
                              <w:rPr>
                                <w:rFonts w:ascii="Arial" w:hAnsi="Arial" w:cs="Arial"/>
                                <w:color w:val="000000"/>
                              </w:rPr>
                              <w:br/>
                              <w:t>PO Box 8288 Station Arcade, Adelaide SA 5000, Australia</w:t>
                            </w:r>
                          </w:p>
                          <w:p w:rsidR="0037725F" w:rsidRPr="006E0B9E" w:rsidRDefault="0037725F" w:rsidP="009F3844">
                            <w:pPr>
                              <w:pStyle w:val="Imprint"/>
                              <w:tabs>
                                <w:tab w:val="left" w:pos="3402"/>
                              </w:tabs>
                              <w:jc w:val="right"/>
                              <w:rPr>
                                <w:rFonts w:ascii="Arial" w:hAnsi="Arial" w:cs="Arial"/>
                              </w:rPr>
                            </w:pPr>
                            <w:r w:rsidRPr="006E0B9E">
                              <w:rPr>
                                <w:rFonts w:ascii="Arial" w:hAnsi="Arial" w:cs="Arial"/>
                                <w:b/>
                              </w:rPr>
                              <w:t>Phone</w:t>
                            </w:r>
                            <w:r w:rsidRPr="006E0B9E">
                              <w:rPr>
                                <w:rFonts w:ascii="Arial" w:hAnsi="Arial" w:cs="Arial"/>
                              </w:rPr>
                              <w:t xml:space="preserve"> +61 8 8230 </w:t>
                            </w:r>
                            <w:proofErr w:type="gramStart"/>
                            <w:r w:rsidRPr="006E0B9E">
                              <w:rPr>
                                <w:rFonts w:ascii="Arial" w:hAnsi="Arial" w:cs="Arial"/>
                              </w:rPr>
                              <w:t xml:space="preserve">8400  </w:t>
                            </w:r>
                            <w:r w:rsidRPr="006E0B9E">
                              <w:rPr>
                                <w:rFonts w:ascii="Arial" w:hAnsi="Arial" w:cs="Arial"/>
                                <w:b/>
                              </w:rPr>
                              <w:t>Fax</w:t>
                            </w:r>
                            <w:proofErr w:type="gramEnd"/>
                            <w:r w:rsidRPr="006E0B9E">
                              <w:rPr>
                                <w:rFonts w:ascii="Arial" w:hAnsi="Arial" w:cs="Arial"/>
                              </w:rPr>
                              <w:t xml:space="preserve"> +61 8 8212 3436</w:t>
                            </w:r>
                          </w:p>
                          <w:p w:rsidR="0037725F" w:rsidRPr="006E0B9E" w:rsidRDefault="0037725F" w:rsidP="009F3844">
                            <w:pPr>
                              <w:pStyle w:val="Imprint"/>
                              <w:spacing w:before="0"/>
                              <w:jc w:val="right"/>
                              <w:rPr>
                                <w:rFonts w:ascii="Arial" w:hAnsi="Arial" w:cs="Arial"/>
                              </w:rPr>
                            </w:pPr>
                            <w:r w:rsidRPr="006E0B9E">
                              <w:rPr>
                                <w:rFonts w:ascii="Arial" w:hAnsi="Arial" w:cs="Arial"/>
                                <w:b/>
                              </w:rPr>
                              <w:t>Email</w:t>
                            </w:r>
                            <w:r w:rsidRPr="006E0B9E">
                              <w:rPr>
                                <w:rFonts w:ascii="Arial" w:hAnsi="Arial" w:cs="Arial"/>
                              </w:rPr>
                              <w:t xml:space="preserve"> </w:t>
                            </w:r>
                            <w:hyperlink r:id="rId54" w:history="1">
                              <w:r w:rsidRPr="006C271D">
                                <w:rPr>
                                  <w:rStyle w:val="Hyperlink"/>
                                  <w:rFonts w:ascii="Arial" w:hAnsi="Arial" w:cs="Arial"/>
                                  <w:sz w:val="16"/>
                                  <w:szCs w:val="16"/>
                                </w:rPr>
                                <w:t>ncver@ncver.edu.au</w:t>
                              </w:r>
                            </w:hyperlink>
                            <w:r w:rsidRPr="006C271D">
                              <w:rPr>
                                <w:rFonts w:ascii="Arial" w:hAnsi="Arial" w:cs="Arial"/>
                                <w:szCs w:val="16"/>
                              </w:rPr>
                              <w:t xml:space="preserve">  </w:t>
                            </w:r>
                            <w:r w:rsidRPr="006C271D">
                              <w:rPr>
                                <w:rFonts w:ascii="Arial" w:hAnsi="Arial" w:cs="Arial"/>
                                <w:b/>
                                <w:szCs w:val="16"/>
                              </w:rPr>
                              <w:t>Web</w:t>
                            </w:r>
                            <w:r w:rsidRPr="006C271D">
                              <w:rPr>
                                <w:rFonts w:ascii="Arial" w:hAnsi="Arial" w:cs="Arial"/>
                                <w:szCs w:val="16"/>
                              </w:rPr>
                              <w:t xml:space="preserve"> &lt;http://www.ncver.edu.au</w:t>
                            </w:r>
                            <w:proofErr w:type="gramStart"/>
                            <w:r w:rsidRPr="006C271D">
                              <w:rPr>
                                <w:rFonts w:ascii="Arial" w:hAnsi="Arial" w:cs="Arial"/>
                                <w:szCs w:val="16"/>
                              </w:rPr>
                              <w:t>&gt;  &lt;</w:t>
                            </w:r>
                            <w:proofErr w:type="gramEnd"/>
                            <w:hyperlink r:id="rId55" w:history="1">
                              <w:r w:rsidRPr="006C271D">
                                <w:rPr>
                                  <w:rStyle w:val="Hyperlink"/>
                                  <w:rFonts w:ascii="Arial" w:hAnsi="Arial" w:cs="Arial"/>
                                  <w:sz w:val="16"/>
                                  <w:szCs w:val="16"/>
                                </w:rPr>
                                <w:t>http://www.lsay.edu.au</w:t>
                              </w:r>
                            </w:hyperlink>
                            <w:r w:rsidRPr="006C271D">
                              <w:rPr>
                                <w:rFonts w:ascii="Arial" w:hAnsi="Arial" w:cs="Arial"/>
                                <w:szCs w:val="16"/>
                              </w:rPr>
                              <w:t>&gt;</w:t>
                            </w:r>
                          </w:p>
                          <w:p w:rsidR="0037725F" w:rsidRPr="006E0B9E" w:rsidRDefault="0037725F" w:rsidP="009F3844">
                            <w:pPr>
                              <w:pStyle w:val="Imprint"/>
                              <w:tabs>
                                <w:tab w:val="left" w:pos="993"/>
                                <w:tab w:val="left" w:pos="3686"/>
                              </w:tabs>
                              <w:spacing w:before="0"/>
                              <w:jc w:val="right"/>
                              <w:rPr>
                                <w:rFonts w:ascii="Arial" w:hAnsi="Arial" w:cs="Arial"/>
                              </w:rPr>
                            </w:pPr>
                            <w:r w:rsidRPr="006E0B9E">
                              <w:rPr>
                                <w:rFonts w:ascii="Arial" w:hAnsi="Arial" w:cs="Arial"/>
                                <w:b/>
                              </w:rPr>
                              <w:t>Follow us:</w:t>
                            </w:r>
                            <w:r w:rsidRPr="006E0B9E">
                              <w:rPr>
                                <w:rFonts w:ascii="Arial" w:hAnsi="Arial" w:cs="Arial"/>
                              </w:rPr>
                              <w:t xml:space="preserve"> </w:t>
                            </w:r>
                            <w:r>
                              <w:rPr>
                                <w:rFonts w:ascii="Arial" w:hAnsi="Arial" w:cs="Arial"/>
                              </w:rPr>
                              <w:t xml:space="preserve">      </w:t>
                            </w:r>
                            <w:r w:rsidRPr="006E0B9E">
                              <w:rPr>
                                <w:rFonts w:ascii="Arial" w:hAnsi="Arial" w:cs="Arial"/>
                              </w:rPr>
                              <w:t xml:space="preserve"> </w:t>
                            </w:r>
                            <w:r w:rsidRPr="006C271D">
                              <w:rPr>
                                <w:rFonts w:ascii="Arial" w:hAnsi="Arial" w:cs="Arial"/>
                                <w:szCs w:val="16"/>
                              </w:rPr>
                              <w:t>&lt;</w:t>
                            </w:r>
                            <w:hyperlink r:id="rId56" w:history="1">
                              <w:r w:rsidRPr="006C271D">
                                <w:rPr>
                                  <w:rStyle w:val="Hyperlink"/>
                                  <w:rFonts w:ascii="Arial" w:hAnsi="Arial" w:cs="Arial"/>
                                  <w:sz w:val="16"/>
                                  <w:szCs w:val="16"/>
                                </w:rPr>
                                <w:t>http://twitter.com/ncver</w:t>
                              </w:r>
                            </w:hyperlink>
                            <w:r w:rsidRPr="006C271D">
                              <w:rPr>
                                <w:rFonts w:ascii="Arial" w:hAnsi="Arial" w:cs="Arial"/>
                                <w:szCs w:val="16"/>
                              </w:rPr>
                              <w:t xml:space="preserve">&gt;         </w:t>
                            </w:r>
                            <w:r w:rsidRPr="006E0B9E">
                              <w:rPr>
                                <w:rFonts w:ascii="Arial" w:hAnsi="Arial" w:cs="Arial"/>
                              </w:rPr>
                              <w:t>&lt;http://www.linkedin.com/company/ncver&gt;</w:t>
                            </w:r>
                          </w:p>
                          <w:p w:rsidR="0037725F" w:rsidRPr="009F3844" w:rsidRDefault="0037725F" w:rsidP="009F3844">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9" type="#_x0000_t202" style="position:absolute;margin-left:26.25pt;margin-top:609.7pt;width:405pt;height:12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" filled="f" stroked="f" strokeweight=".5pt">
                <v:path arrowok="t"/>
                <v:textbox>
                  <w:txbxContent>
                    <w:p w:rsidR="0037725F" w:rsidRPr="006E0B9E" w:rsidRDefault="0037725F" w:rsidP="009F3844">
                      <w:pPr>
                        <w:jc w:val="right"/>
                        <w:rPr>
                          <w:rFonts w:ascii="Arial" w:hAnsi="Arial" w:cs="Arial"/>
                          <w:b/>
                        </w:rPr>
                      </w:pPr>
                      <w:r w:rsidRPr="006E0B9E">
                        <w:rPr>
                          <w:rFonts w:ascii="Arial" w:hAnsi="Arial" w:cs="Arial"/>
                          <w:b/>
                        </w:rPr>
                        <w:t>National Centre for Vocational Education Research</w:t>
                      </w:r>
                    </w:p>
                    <w:p w:rsidR="0037725F" w:rsidRPr="006E0B9E" w:rsidRDefault="0037725F" w:rsidP="009F3844">
                      <w:pPr>
                        <w:pStyle w:val="Imprint"/>
                        <w:spacing w:before="80"/>
                        <w:jc w:val="right"/>
                        <w:rPr>
                          <w:rFonts w:ascii="Arial" w:hAnsi="Arial" w:cs="Arial"/>
                          <w:color w:val="000000"/>
                        </w:rPr>
                      </w:pPr>
                      <w:r w:rsidRPr="006E0B9E">
                        <w:rPr>
                          <w:rFonts w:ascii="Arial" w:hAnsi="Arial" w:cs="Arial"/>
                          <w:color w:val="000000"/>
                        </w:rPr>
                        <w:t>Level 11, 33 King William Street, Adelaide, SA 5000</w:t>
                      </w:r>
                      <w:r w:rsidRPr="006E0B9E">
                        <w:rPr>
                          <w:rFonts w:ascii="Arial" w:hAnsi="Arial" w:cs="Arial"/>
                          <w:color w:val="000000"/>
                        </w:rPr>
                        <w:br/>
                        <w:t>PO Box 8288 Station Arcade, Adelaide SA 5000, Australia</w:t>
                      </w:r>
                    </w:p>
                    <w:p w:rsidR="0037725F" w:rsidRPr="006E0B9E" w:rsidRDefault="0037725F" w:rsidP="009F3844">
                      <w:pPr>
                        <w:pStyle w:val="Imprint"/>
                        <w:tabs>
                          <w:tab w:val="left" w:pos="3402"/>
                        </w:tabs>
                        <w:jc w:val="right"/>
                        <w:rPr>
                          <w:rFonts w:ascii="Arial" w:hAnsi="Arial" w:cs="Arial"/>
                        </w:rPr>
                      </w:pPr>
                      <w:r w:rsidRPr="006E0B9E">
                        <w:rPr>
                          <w:rFonts w:ascii="Arial" w:hAnsi="Arial" w:cs="Arial"/>
                          <w:b/>
                        </w:rPr>
                        <w:t>Phone</w:t>
                      </w:r>
                      <w:r w:rsidRPr="006E0B9E">
                        <w:rPr>
                          <w:rFonts w:ascii="Arial" w:hAnsi="Arial" w:cs="Arial"/>
                        </w:rPr>
                        <w:t xml:space="preserve"> +61 8 8230 </w:t>
                      </w:r>
                      <w:proofErr w:type="gramStart"/>
                      <w:r w:rsidRPr="006E0B9E">
                        <w:rPr>
                          <w:rFonts w:ascii="Arial" w:hAnsi="Arial" w:cs="Arial"/>
                        </w:rPr>
                        <w:t xml:space="preserve">8400  </w:t>
                      </w:r>
                      <w:r w:rsidRPr="006E0B9E">
                        <w:rPr>
                          <w:rFonts w:ascii="Arial" w:hAnsi="Arial" w:cs="Arial"/>
                          <w:b/>
                        </w:rPr>
                        <w:t>Fax</w:t>
                      </w:r>
                      <w:proofErr w:type="gramEnd"/>
                      <w:r w:rsidRPr="006E0B9E">
                        <w:rPr>
                          <w:rFonts w:ascii="Arial" w:hAnsi="Arial" w:cs="Arial"/>
                        </w:rPr>
                        <w:t xml:space="preserve"> +61 8 8212 3436</w:t>
                      </w:r>
                    </w:p>
                    <w:p w:rsidR="0037725F" w:rsidRPr="006E0B9E" w:rsidRDefault="0037725F" w:rsidP="009F3844">
                      <w:pPr>
                        <w:pStyle w:val="Imprint"/>
                        <w:spacing w:before="0"/>
                        <w:jc w:val="right"/>
                        <w:rPr>
                          <w:rFonts w:ascii="Arial" w:hAnsi="Arial" w:cs="Arial"/>
                        </w:rPr>
                      </w:pPr>
                      <w:r w:rsidRPr="006E0B9E">
                        <w:rPr>
                          <w:rFonts w:ascii="Arial" w:hAnsi="Arial" w:cs="Arial"/>
                          <w:b/>
                        </w:rPr>
                        <w:t>Email</w:t>
                      </w:r>
                      <w:r w:rsidRPr="006E0B9E">
                        <w:rPr>
                          <w:rFonts w:ascii="Arial" w:hAnsi="Arial" w:cs="Arial"/>
                        </w:rPr>
                        <w:t xml:space="preserve"> </w:t>
                      </w:r>
                      <w:hyperlink r:id="rId57" w:history="1">
                        <w:r w:rsidRPr="006C271D">
                          <w:rPr>
                            <w:rStyle w:val="Hyperlink"/>
                            <w:rFonts w:ascii="Arial" w:hAnsi="Arial" w:cs="Arial"/>
                            <w:sz w:val="16"/>
                            <w:szCs w:val="16"/>
                          </w:rPr>
                          <w:t>ncver@ncver.edu.au</w:t>
                        </w:r>
                      </w:hyperlink>
                      <w:r w:rsidRPr="006C271D">
                        <w:rPr>
                          <w:rFonts w:ascii="Arial" w:hAnsi="Arial" w:cs="Arial"/>
                          <w:szCs w:val="16"/>
                        </w:rPr>
                        <w:t xml:space="preserve">  </w:t>
                      </w:r>
                      <w:r w:rsidRPr="006C271D">
                        <w:rPr>
                          <w:rFonts w:ascii="Arial" w:hAnsi="Arial" w:cs="Arial"/>
                          <w:b/>
                          <w:szCs w:val="16"/>
                        </w:rPr>
                        <w:t>Web</w:t>
                      </w:r>
                      <w:r w:rsidRPr="006C271D">
                        <w:rPr>
                          <w:rFonts w:ascii="Arial" w:hAnsi="Arial" w:cs="Arial"/>
                          <w:szCs w:val="16"/>
                        </w:rPr>
                        <w:t xml:space="preserve"> &lt;http://www.ncver.edu.au</w:t>
                      </w:r>
                      <w:proofErr w:type="gramStart"/>
                      <w:r w:rsidRPr="006C271D">
                        <w:rPr>
                          <w:rFonts w:ascii="Arial" w:hAnsi="Arial" w:cs="Arial"/>
                          <w:szCs w:val="16"/>
                        </w:rPr>
                        <w:t>&gt;  &lt;</w:t>
                      </w:r>
                      <w:proofErr w:type="gramEnd"/>
                      <w:hyperlink r:id="rId58" w:history="1">
                        <w:r w:rsidRPr="006C271D">
                          <w:rPr>
                            <w:rStyle w:val="Hyperlink"/>
                            <w:rFonts w:ascii="Arial" w:hAnsi="Arial" w:cs="Arial"/>
                            <w:sz w:val="16"/>
                            <w:szCs w:val="16"/>
                          </w:rPr>
                          <w:t>http://www.lsay.edu.au</w:t>
                        </w:r>
                      </w:hyperlink>
                      <w:r w:rsidRPr="006C271D">
                        <w:rPr>
                          <w:rFonts w:ascii="Arial" w:hAnsi="Arial" w:cs="Arial"/>
                          <w:szCs w:val="16"/>
                        </w:rPr>
                        <w:t>&gt;</w:t>
                      </w:r>
                    </w:p>
                    <w:p w:rsidR="0037725F" w:rsidRPr="006E0B9E" w:rsidRDefault="0037725F" w:rsidP="009F3844">
                      <w:pPr>
                        <w:pStyle w:val="Imprint"/>
                        <w:tabs>
                          <w:tab w:val="left" w:pos="993"/>
                          <w:tab w:val="left" w:pos="3686"/>
                        </w:tabs>
                        <w:spacing w:before="0"/>
                        <w:jc w:val="right"/>
                        <w:rPr>
                          <w:rFonts w:ascii="Arial" w:hAnsi="Arial" w:cs="Arial"/>
                        </w:rPr>
                      </w:pPr>
                      <w:r w:rsidRPr="006E0B9E">
                        <w:rPr>
                          <w:rFonts w:ascii="Arial" w:hAnsi="Arial" w:cs="Arial"/>
                          <w:b/>
                        </w:rPr>
                        <w:t>Follow us:</w:t>
                      </w:r>
                      <w:r w:rsidRPr="006E0B9E">
                        <w:rPr>
                          <w:rFonts w:ascii="Arial" w:hAnsi="Arial" w:cs="Arial"/>
                        </w:rPr>
                        <w:t xml:space="preserve"> </w:t>
                      </w:r>
                      <w:r>
                        <w:rPr>
                          <w:rFonts w:ascii="Arial" w:hAnsi="Arial" w:cs="Arial"/>
                        </w:rPr>
                        <w:t xml:space="preserve">      </w:t>
                      </w:r>
                      <w:r w:rsidRPr="006E0B9E">
                        <w:rPr>
                          <w:rFonts w:ascii="Arial" w:hAnsi="Arial" w:cs="Arial"/>
                        </w:rPr>
                        <w:t xml:space="preserve"> </w:t>
                      </w:r>
                      <w:r w:rsidRPr="006C271D">
                        <w:rPr>
                          <w:rFonts w:ascii="Arial" w:hAnsi="Arial" w:cs="Arial"/>
                          <w:szCs w:val="16"/>
                        </w:rPr>
                        <w:t>&lt;</w:t>
                      </w:r>
                      <w:hyperlink r:id="rId59" w:history="1">
                        <w:r w:rsidRPr="006C271D">
                          <w:rPr>
                            <w:rStyle w:val="Hyperlink"/>
                            <w:rFonts w:ascii="Arial" w:hAnsi="Arial" w:cs="Arial"/>
                            <w:sz w:val="16"/>
                            <w:szCs w:val="16"/>
                          </w:rPr>
                          <w:t>http://twitter.com/ncver</w:t>
                        </w:r>
                      </w:hyperlink>
                      <w:r w:rsidRPr="006C271D">
                        <w:rPr>
                          <w:rFonts w:ascii="Arial" w:hAnsi="Arial" w:cs="Arial"/>
                          <w:szCs w:val="16"/>
                        </w:rPr>
                        <w:t xml:space="preserve">&gt;         </w:t>
                      </w:r>
                      <w:r w:rsidRPr="006E0B9E">
                        <w:rPr>
                          <w:rFonts w:ascii="Arial" w:hAnsi="Arial" w:cs="Arial"/>
                        </w:rPr>
                        <w:t>&lt;http://www.linkedin.com/company/ncver&gt;</w:t>
                      </w:r>
                    </w:p>
                    <w:p w:rsidR="0037725F" w:rsidRPr="009F3844" w:rsidRDefault="0037725F" w:rsidP="009F3844">
                      <w:pPr>
                        <w:rPr>
                          <w:rFonts w:ascii="Arial" w:hAnsi="Arial" w:cs="Arial"/>
                          <w:sz w:val="16"/>
                          <w:szCs w:val="16"/>
                        </w:rPr>
                      </w:pPr>
                    </w:p>
                  </w:txbxContent>
                </v:textbox>
              </v:shape>
            </w:pict>
          </mc:Fallback>
        </mc:AlternateContent>
      </w:r>
      <w:r w:rsidRPr="009F3844">
        <w:rPr>
          <w:noProof/>
          <w:lang w:eastAsia="en-AU"/>
        </w:rPr>
        <w:drawing>
          <wp:anchor distT="0" distB="0" distL="114300" distR="114300" simplePos="0" relativeHeight="251900928" behindDoc="0" locked="0" layoutInCell="1" allowOverlap="1" wp14:anchorId="3D368FAB" wp14:editId="7132786C">
            <wp:simplePos x="0" y="0"/>
            <wp:positionH relativeFrom="column">
              <wp:posOffset>3128010</wp:posOffset>
            </wp:positionH>
            <wp:positionV relativeFrom="paragraph">
              <wp:posOffset>7042785</wp:posOffset>
            </wp:positionV>
            <wp:extent cx="2276475" cy="486410"/>
            <wp:effectExtent l="0" t="0" r="9525" b="8890"/>
            <wp:wrapNone/>
            <wp:docPr id="55" name="Picture 55" descr="P:\PublicationComponents\logos\NCVER LOGOS\WMF - word\No lines\NCVER_Floating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NCVER LOGOS\WMF - word\No lines\NCVER_Floating_Blue.wmf"/>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276475" cy="486410"/>
                    </a:xfrm>
                    <a:prstGeom prst="rect">
                      <a:avLst/>
                    </a:prstGeom>
                    <a:noFill/>
                    <a:ln>
                      <a:noFill/>
                    </a:ln>
                  </pic:spPr>
                </pic:pic>
              </a:graphicData>
            </a:graphic>
          </wp:anchor>
        </w:drawing>
      </w:r>
      <w:r w:rsidRPr="009F3844">
        <w:rPr>
          <w:noProof/>
          <w:lang w:eastAsia="en-AU"/>
        </w:rPr>
        <w:drawing>
          <wp:anchor distT="0" distB="0" distL="114300" distR="114300" simplePos="0" relativeHeight="251901952" behindDoc="0" locked="0" layoutInCell="1" allowOverlap="1" wp14:anchorId="254AA834" wp14:editId="3C239C79">
            <wp:simplePos x="0" y="0"/>
            <wp:positionH relativeFrom="column">
              <wp:posOffset>-1751965</wp:posOffset>
            </wp:positionH>
            <wp:positionV relativeFrom="paragraph">
              <wp:posOffset>9240520</wp:posOffset>
            </wp:positionV>
            <wp:extent cx="7542530" cy="561975"/>
            <wp:effectExtent l="0" t="0" r="1270" b="9525"/>
            <wp:wrapNone/>
            <wp:docPr id="20" name="Picture 20" descr="P:\PublicationDesigns\Rebranding2014\Final files\NCV2717_A4_Brochure_Cover\ColourBar_Corporate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PublicationDesigns\Rebranding2014\Final files\NCV2717_A4_Brochure_Cover\ColourBar_CorporateBlue.jpg"/>
                    <pic:cNvPicPr>
                      <a:picLocks noChangeAspect="1" noChangeArrowheads="1"/>
                    </pic:cNvPicPr>
                  </pic:nvPicPr>
                  <pic:blipFill rotWithShape="1">
                    <a:blip r:embed="rId61" cstate="print">
                      <a:extLst>
                        <a:ext uri="{28A0092B-C50C-407E-A947-70E740481C1C}">
                          <a14:useLocalDpi xmlns:a14="http://schemas.microsoft.com/office/drawing/2010/main" val="0"/>
                        </a:ext>
                      </a:extLst>
                    </a:blip>
                    <a:srcRect b="22369"/>
                    <a:stretch/>
                  </pic:blipFill>
                  <pic:spPr bwMode="auto">
                    <a:xfrm>
                      <a:off x="0" y="0"/>
                      <a:ext cx="7542530" cy="561975"/>
                    </a:xfrm>
                    <a:prstGeom prst="rect">
                      <a:avLst/>
                    </a:prstGeom>
                    <a:noFill/>
                    <a:ln>
                      <a:noFill/>
                    </a:ln>
                    <a:extLst>
                      <a:ext uri="{53640926-AAD7-44D8-BBD7-CCE9431645EC}">
                        <a14:shadowObscured xmlns:a14="http://schemas.microsoft.com/office/drawing/2010/main"/>
                      </a:ext>
                    </a:extLst>
                  </pic:spPr>
                </pic:pic>
              </a:graphicData>
            </a:graphic>
          </wp:anchor>
        </w:drawing>
      </w:r>
    </w:p>
    <w:sectPr w:rsidR="00606061" w:rsidRPr="009F3844" w:rsidSect="009F3844">
      <w:headerReference w:type="default" r:id="rId62"/>
      <w:footerReference w:type="even" r:id="rId63"/>
      <w:footerReference w:type="default" r:id="rId64"/>
      <w:pgSz w:w="11907" w:h="16840" w:code="9"/>
      <w:pgMar w:top="1276" w:right="2835" w:bottom="992" w:left="1134"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25F" w:rsidRDefault="0037725F">
      <w:r>
        <w:separator/>
      </w:r>
    </w:p>
    <w:p w:rsidR="0037725F" w:rsidRDefault="0037725F"/>
  </w:endnote>
  <w:endnote w:type="continuationSeparator" w:id="0">
    <w:p w:rsidR="0037725F" w:rsidRDefault="0037725F">
      <w:r>
        <w:continuationSeparator/>
      </w:r>
    </w:p>
    <w:p w:rsidR="0037725F" w:rsidRDefault="00377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Avant 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5F" w:rsidRPr="00C83D73" w:rsidRDefault="0037725F" w:rsidP="00AD4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5F" w:rsidRPr="00C83D73" w:rsidRDefault="0037725F" w:rsidP="00AD4D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5F" w:rsidRPr="004B031A" w:rsidRDefault="0037725F" w:rsidP="004B03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5F" w:rsidRPr="00214ED0" w:rsidRDefault="0037725F" w:rsidP="00AD4D8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5F" w:rsidRPr="00CB39BE" w:rsidRDefault="0037725F" w:rsidP="00D00E9E">
    <w:pPr>
      <w:pStyle w:val="Footer"/>
      <w:tabs>
        <w:tab w:val="clear" w:pos="7655"/>
        <w:tab w:val="right" w:pos="8222"/>
      </w:tabs>
      <w:ind w:hanging="2127"/>
      <w:rPr>
        <w:b w:val="0"/>
        <w:color w:val="000000" w:themeColor="text1"/>
      </w:rPr>
    </w:pPr>
    <w:r w:rsidRPr="00606061">
      <w:rPr>
        <w:b w:val="0"/>
        <w:color w:val="000000" w:themeColor="text1"/>
      </w:rPr>
      <w:fldChar w:fldCharType="begin"/>
    </w:r>
    <w:r w:rsidRPr="00606061">
      <w:rPr>
        <w:color w:val="000000" w:themeColor="text1"/>
      </w:rPr>
      <w:instrText xml:space="preserve"> PAGE </w:instrText>
    </w:r>
    <w:r w:rsidRPr="00606061">
      <w:rPr>
        <w:b w:val="0"/>
        <w:color w:val="000000" w:themeColor="text1"/>
      </w:rPr>
      <w:fldChar w:fldCharType="separate"/>
    </w:r>
    <w:r w:rsidR="007C22D7">
      <w:rPr>
        <w:noProof/>
        <w:color w:val="000000" w:themeColor="text1"/>
      </w:rPr>
      <w:t>16</w:t>
    </w:r>
    <w:r w:rsidRPr="00606061">
      <w:rPr>
        <w:b w:val="0"/>
        <w:color w:val="000000" w:themeColor="text1"/>
      </w:rPr>
      <w:fldChar w:fldCharType="end"/>
    </w:r>
    <w:r w:rsidRPr="00606061">
      <w:rPr>
        <w:color w:val="000000" w:themeColor="text1"/>
      </w:rPr>
      <w:tab/>
    </w:r>
    <w:r>
      <w:rPr>
        <w:color w:val="000000" w:themeColor="text1"/>
      </w:rPr>
      <w:tab/>
    </w:r>
    <w:r w:rsidRPr="00CB39BE">
      <w:rPr>
        <w:color w:val="000000" w:themeColor="text1"/>
      </w:rPr>
      <w:t>The Australian literacy and numeracy workforce: a literature review</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5F" w:rsidRPr="00CB39BE" w:rsidRDefault="0037725F" w:rsidP="00D00E9E">
    <w:pPr>
      <w:pStyle w:val="Footer"/>
      <w:tabs>
        <w:tab w:val="clear" w:pos="7655"/>
        <w:tab w:val="right" w:pos="9923"/>
      </w:tabs>
      <w:ind w:left="-426"/>
      <w:rPr>
        <w:color w:val="000000" w:themeColor="text1"/>
      </w:rPr>
    </w:pPr>
    <w:r w:rsidRPr="00513938">
      <w:rPr>
        <w:color w:val="000000" w:themeColor="text1"/>
      </w:rPr>
      <w:t>NCVER</w:t>
    </w:r>
    <w:r>
      <w:rPr>
        <w:color w:val="000000" w:themeColor="text1"/>
      </w:rPr>
      <w:tab/>
    </w:r>
    <w:r w:rsidRPr="00513938">
      <w:rPr>
        <w:rStyle w:val="PageNumber"/>
        <w:rFonts w:ascii="Arial" w:hAnsi="Arial"/>
        <w:b w:val="0"/>
        <w:color w:val="000000" w:themeColor="text1"/>
        <w:sz w:val="17"/>
      </w:rPr>
      <w:fldChar w:fldCharType="begin"/>
    </w:r>
    <w:r w:rsidRPr="00513938">
      <w:rPr>
        <w:rStyle w:val="PageNumber"/>
        <w:rFonts w:ascii="Arial" w:hAnsi="Arial"/>
        <w:color w:val="000000" w:themeColor="text1"/>
        <w:sz w:val="17"/>
      </w:rPr>
      <w:instrText xml:space="preserve"> PAGE </w:instrText>
    </w:r>
    <w:r w:rsidRPr="00513938">
      <w:rPr>
        <w:rStyle w:val="PageNumber"/>
        <w:rFonts w:ascii="Arial" w:hAnsi="Arial"/>
        <w:b w:val="0"/>
        <w:color w:val="000000" w:themeColor="text1"/>
        <w:sz w:val="17"/>
      </w:rPr>
      <w:fldChar w:fldCharType="separate"/>
    </w:r>
    <w:r w:rsidR="007C22D7">
      <w:rPr>
        <w:rStyle w:val="PageNumber"/>
        <w:rFonts w:ascii="Arial" w:hAnsi="Arial"/>
        <w:noProof/>
        <w:color w:val="000000" w:themeColor="text1"/>
        <w:sz w:val="17"/>
      </w:rPr>
      <w:t>15</w:t>
    </w:r>
    <w:r w:rsidRPr="00513938">
      <w:rPr>
        <w:rStyle w:val="PageNumber"/>
        <w:rFonts w:ascii="Arial" w:hAnsi="Arial"/>
        <w:b w:val="0"/>
        <w:color w:val="000000" w:themeColor="text1"/>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25F" w:rsidRDefault="0037725F">
      <w:r>
        <w:separator/>
      </w:r>
    </w:p>
    <w:p w:rsidR="0037725F" w:rsidRDefault="0037725F"/>
  </w:footnote>
  <w:footnote w:type="continuationSeparator" w:id="0">
    <w:p w:rsidR="0037725F" w:rsidRDefault="0037725F">
      <w:r>
        <w:continuationSeparator/>
      </w:r>
    </w:p>
    <w:p w:rsidR="0037725F" w:rsidRDefault="0037725F"/>
  </w:footnote>
  <w:footnote w:id="1">
    <w:p w:rsidR="0037725F" w:rsidRDefault="0037725F" w:rsidP="00820045">
      <w:pPr>
        <w:pStyle w:val="FootnoteText"/>
        <w:ind w:left="284" w:hanging="284"/>
      </w:pPr>
      <w:r w:rsidRPr="00820045">
        <w:rPr>
          <w:rStyle w:val="FootnoteReference"/>
          <w:vertAlign w:val="baseline"/>
        </w:rPr>
        <w:footnoteRef/>
      </w:r>
      <w:r>
        <w:tab/>
      </w:r>
      <w:proofErr w:type="gramStart"/>
      <w:r>
        <w:t>K Yasukawa, P</w:t>
      </w:r>
      <w:r w:rsidRPr="00B63C6C">
        <w:t xml:space="preserve"> Osmond,</w:t>
      </w:r>
      <w:r>
        <w:t xml:space="preserve"> M Circelli, B </w:t>
      </w:r>
      <w:proofErr w:type="spellStart"/>
      <w:r>
        <w:t>Boughton</w:t>
      </w:r>
      <w:proofErr w:type="spellEnd"/>
      <w:r>
        <w:t>, S Hodge and L</w:t>
      </w:r>
      <w:r w:rsidRPr="00B63C6C">
        <w:t xml:space="preserve"> </w:t>
      </w:r>
      <w:proofErr w:type="spellStart"/>
      <w:r w:rsidRPr="00B63C6C">
        <w:t>Wignall</w:t>
      </w:r>
      <w:proofErr w:type="spellEnd"/>
      <w:r>
        <w:t>.</w:t>
      </w:r>
      <w:proofErr w:type="gramEnd"/>
    </w:p>
  </w:footnote>
  <w:footnote w:id="2">
    <w:p w:rsidR="0037725F" w:rsidRDefault="0037725F" w:rsidP="00820045">
      <w:pPr>
        <w:pStyle w:val="FootnoteText"/>
        <w:ind w:left="284" w:hanging="284"/>
      </w:pPr>
      <w:r w:rsidRPr="00820045">
        <w:rPr>
          <w:rStyle w:val="FootnoteReference"/>
          <w:vertAlign w:val="baseline"/>
        </w:rPr>
        <w:footnoteRef/>
      </w:r>
      <w:r w:rsidRPr="00820045">
        <w:t xml:space="preserve"> </w:t>
      </w:r>
      <w:r>
        <w:tab/>
      </w:r>
      <w:proofErr w:type="spellStart"/>
      <w:r w:rsidRPr="00B63C6C">
        <w:t>A.Planchon</w:t>
      </w:r>
      <w:proofErr w:type="spellEnd"/>
      <w:r w:rsidRPr="00B63C6C">
        <w:t xml:space="preserve">: Manager, Literacy Services &amp; </w:t>
      </w:r>
      <w:proofErr w:type="spellStart"/>
      <w:r w:rsidRPr="00B63C6C">
        <w:t>M.Christie</w:t>
      </w:r>
      <w:proofErr w:type="spellEnd"/>
      <w:r w:rsidRPr="00B63C6C">
        <w:t>: Services Coordinator, Literacy and Learning Policy</w:t>
      </w:r>
      <w:r>
        <w:t>.</w:t>
      </w:r>
    </w:p>
  </w:footnote>
  <w:footnote w:id="3">
    <w:p w:rsidR="0037725F" w:rsidRDefault="0037725F" w:rsidP="00BA0A7A">
      <w:pPr>
        <w:pStyle w:val="FootnoteText"/>
        <w:ind w:right="-426"/>
      </w:pPr>
      <w:r w:rsidRPr="00802F77">
        <w:rPr>
          <w:rStyle w:val="FootnoteReference"/>
          <w:vertAlign w:val="baseline"/>
        </w:rPr>
        <w:footnoteRef/>
      </w:r>
      <w:r>
        <w:tab/>
      </w:r>
      <w:r w:rsidRPr="00E75D99">
        <w:t>Essential skills include ‘thinking skills’, oral communication, computer use/digital skills, working with others and the skills associated with continuous learning</w:t>
      </w:r>
      <w:r>
        <w:t xml:space="preserve"> &lt;</w:t>
      </w:r>
      <w:hyperlink r:id="rId1" w:history="1">
        <w:r w:rsidRPr="00B46A52">
          <w:rPr>
            <w:rStyle w:val="Hyperlink"/>
            <w:sz w:val="16"/>
          </w:rPr>
          <w:t>http://www.esdc.gc.ca/en/essential_skills/definitions.page</w:t>
        </w:r>
      </w:hyperlink>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5F" w:rsidRDefault="0037725F" w:rsidP="004E1A1B">
    <w:pPr>
      <w:tabs>
        <w:tab w:val="left" w:pos="5972"/>
      </w:tabs>
    </w:pPr>
    <w:r w:rsidRPr="00214ED0">
      <w:rPr>
        <w:noProof/>
        <w:lang w:eastAsia="en-AU"/>
      </w:rPr>
      <w:drawing>
        <wp:anchor distT="0" distB="0" distL="114300" distR="114300" simplePos="0" relativeHeight="251659264" behindDoc="1" locked="0" layoutInCell="1" allowOverlap="1" wp14:anchorId="4C4B4D92" wp14:editId="7FEBC27C">
          <wp:simplePos x="0" y="0"/>
          <wp:positionH relativeFrom="column">
            <wp:posOffset>-88900</wp:posOffset>
          </wp:positionH>
          <wp:positionV relativeFrom="paragraph">
            <wp:posOffset>8255</wp:posOffset>
          </wp:positionV>
          <wp:extent cx="5930153" cy="101167"/>
          <wp:effectExtent l="0" t="0" r="0" b="0"/>
          <wp:wrapNone/>
          <wp:docPr id="6" name="Picture 6" descr="G:\marketing_services\CorporateBranding\NCVER_CMYK_Colour_B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G:\marketing_services\CorporateBranding\NCVER_CMYK_Colour_Bar.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0153" cy="101167"/>
                  </a:xfrm>
                  <a:prstGeom prst="rect">
                    <a:avLst/>
                  </a:prstGeom>
                  <a:noFill/>
                  <a:ln>
                    <a:noFill/>
                  </a:ln>
                </pic:spPr>
              </pic:pic>
            </a:graphicData>
          </a:graphic>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5F" w:rsidRDefault="0037725F" w:rsidP="004E1A1B">
    <w:pPr>
      <w:tabs>
        <w:tab w:val="left" w:pos="597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82A3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6BA7D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40562E"/>
    <w:lvl w:ilvl="0">
      <w:start w:val="1"/>
      <w:numFmt w:val="decimal"/>
      <w:pStyle w:val="ListNumber3"/>
      <w:lvlText w:val="%1."/>
      <w:lvlJc w:val="left"/>
      <w:pPr>
        <w:tabs>
          <w:tab w:val="num" w:pos="926"/>
        </w:tabs>
        <w:ind w:left="926" w:hanging="360"/>
      </w:pPr>
    </w:lvl>
  </w:abstractNum>
  <w:abstractNum w:abstractNumId="3">
    <w:nsid w:val="FFFFFF7F"/>
    <w:multiLevelType w:val="singleLevel"/>
    <w:tmpl w:val="328EE9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09984AB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A685F1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8AB9B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F20C14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0EE5C10"/>
    <w:lvl w:ilvl="0">
      <w:start w:val="1"/>
      <w:numFmt w:val="decimal"/>
      <w:pStyle w:val="ListNumber"/>
      <w:lvlText w:val="%1."/>
      <w:lvlJc w:val="left"/>
      <w:pPr>
        <w:tabs>
          <w:tab w:val="num" w:pos="360"/>
        </w:tabs>
        <w:ind w:left="360" w:hanging="360"/>
      </w:pPr>
    </w:lvl>
  </w:abstractNum>
  <w:abstractNum w:abstractNumId="9">
    <w:nsid w:val="01F410EF"/>
    <w:multiLevelType w:val="hybridMultilevel"/>
    <w:tmpl w:val="4244934A"/>
    <w:lvl w:ilvl="0" w:tplc="24BA3DD4">
      <w:start w:val="1"/>
      <w:numFmt w:val="decimal"/>
      <w:lvlText w:val="%1"/>
      <w:lvlJc w:val="left"/>
      <w:pPr>
        <w:tabs>
          <w:tab w:val="num" w:pos="284"/>
        </w:tabs>
        <w:ind w:left="0" w:firstLine="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067B56A7"/>
    <w:multiLevelType w:val="hybridMultilevel"/>
    <w:tmpl w:val="FC6A3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042542F"/>
    <w:multiLevelType w:val="hybridMultilevel"/>
    <w:tmpl w:val="997C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7751F89"/>
    <w:multiLevelType w:val="hybridMultilevel"/>
    <w:tmpl w:val="05AAA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024C86"/>
    <w:multiLevelType w:val="hybridMultilevel"/>
    <w:tmpl w:val="F8DCC4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nsid w:val="187F083E"/>
    <w:multiLevelType w:val="hybridMultilevel"/>
    <w:tmpl w:val="C4A0BF16"/>
    <w:lvl w:ilvl="0" w:tplc="0C090005">
      <w:start w:val="1"/>
      <w:numFmt w:val="bullet"/>
      <w:lvlText w:val=""/>
      <w:lvlJc w:val="left"/>
      <w:pPr>
        <w:tabs>
          <w:tab w:val="num" w:pos="720"/>
        </w:tabs>
        <w:ind w:left="720" w:hanging="360"/>
      </w:pPr>
      <w:rPr>
        <w:rFonts w:ascii="Wingdings" w:hAnsi="Wingdings" w:hint="default"/>
      </w:rPr>
    </w:lvl>
    <w:lvl w:ilvl="1" w:tplc="391067CA">
      <w:start w:val="1"/>
      <w:numFmt w:val="bullet"/>
      <w:lvlText w:val=""/>
      <w:lvlJc w:val="left"/>
      <w:pPr>
        <w:tabs>
          <w:tab w:val="num" w:pos="1477"/>
        </w:tabs>
        <w:ind w:left="147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2261B66"/>
    <w:multiLevelType w:val="hybridMultilevel"/>
    <w:tmpl w:val="C638F0E8"/>
    <w:lvl w:ilvl="0" w:tplc="E3303A30">
      <w:start w:val="1"/>
      <w:numFmt w:val="decimal"/>
      <w:pStyle w:val="NumberedList"/>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68247CE"/>
    <w:multiLevelType w:val="hybridMultilevel"/>
    <w:tmpl w:val="2A988218"/>
    <w:lvl w:ilvl="0" w:tplc="316452FE">
      <w:start w:val="1"/>
      <w:numFmt w:val="bullet"/>
      <w:pStyle w:val="BulletList"/>
      <w:lvlText w:val=""/>
      <w:lvlJc w:val="left"/>
      <w:pPr>
        <w:tabs>
          <w:tab w:val="num" w:pos="757"/>
        </w:tabs>
        <w:ind w:left="757" w:hanging="397"/>
      </w:pPr>
      <w:rPr>
        <w:rFonts w:ascii="Symbol" w:hAnsi="Symbol" w:hint="default"/>
        <w:sz w:val="18"/>
      </w:rPr>
    </w:lvl>
    <w:lvl w:ilvl="1" w:tplc="0E40F548">
      <w:start w:val="1"/>
      <w:numFmt w:val="bullet"/>
      <w:lvlText w:val=""/>
      <w:lvlJc w:val="left"/>
      <w:pPr>
        <w:tabs>
          <w:tab w:val="num" w:pos="1477"/>
        </w:tabs>
        <w:ind w:left="1477" w:hanging="397"/>
      </w:pPr>
      <w:rPr>
        <w:rFonts w:ascii="Symbol" w:hAnsi="Symbol" w:hint="default"/>
        <w:sz w:val="18"/>
      </w:rPr>
    </w:lvl>
    <w:lvl w:ilvl="2" w:tplc="7BAC00C4">
      <w:start w:val="1"/>
      <w:numFmt w:val="decimal"/>
      <w:lvlText w:val="%3."/>
      <w:lvlJc w:val="left"/>
      <w:pPr>
        <w:tabs>
          <w:tab w:val="num" w:pos="2160"/>
        </w:tabs>
        <w:ind w:left="2160" w:hanging="360"/>
      </w:pPr>
      <w:rPr>
        <w:rFonts w:hint="default"/>
        <w:sz w:val="18"/>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A172354"/>
    <w:multiLevelType w:val="hybridMultilevel"/>
    <w:tmpl w:val="F6F83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88D6842"/>
    <w:multiLevelType w:val="hybridMultilevel"/>
    <w:tmpl w:val="DAE40626"/>
    <w:lvl w:ilvl="0" w:tplc="4B02EA6C">
      <w:start w:val="1"/>
      <w:numFmt w:val="decimal"/>
      <w:pStyle w:val="NumberedListContinuing"/>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5CEC054A"/>
    <w:multiLevelType w:val="multilevel"/>
    <w:tmpl w:val="62D05A8A"/>
    <w:lvl w:ilvl="0">
      <w:start w:val="1"/>
      <w:numFmt w:val="decimal"/>
      <w:isLgl/>
      <w:suff w:val="space"/>
      <w:lvlText w:val="Item %1"/>
      <w:lvlJc w:val="left"/>
      <w:pPr>
        <w:ind w:left="680" w:hanging="680"/>
      </w:pPr>
      <w:rPr>
        <w:rFonts w:ascii="Arial" w:hAnsi="Arial" w:hint="default"/>
        <w:b w:val="0"/>
        <w:bCs/>
        <w:i w:val="0"/>
        <w:caps w:val="0"/>
        <w:sz w:val="32"/>
        <w:szCs w:val="32"/>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680"/>
        </w:tabs>
        <w:ind w:left="680" w:hanging="680"/>
      </w:pPr>
      <w:rPr>
        <w:rFonts w:hint="default"/>
      </w:rPr>
    </w:lvl>
    <w:lvl w:ilvl="3">
      <w:start w:val="1"/>
      <w:numFmt w:val="lowerRoman"/>
      <w:lvlText w:val="(%4)"/>
      <w:lvlJc w:val="left"/>
      <w:pPr>
        <w:tabs>
          <w:tab w:val="num" w:pos="1400"/>
        </w:tabs>
        <w:ind w:left="1361" w:hanging="681"/>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4253"/>
        </w:tabs>
        <w:ind w:left="4253" w:hanging="851"/>
      </w:pPr>
      <w:rPr>
        <w:rFonts w:hint="default"/>
      </w:rPr>
    </w:lvl>
    <w:lvl w:ilvl="6">
      <w:start w:val="1"/>
      <w:numFmt w:val="none"/>
      <w:lvlText w:val=""/>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nsid w:val="61287A92"/>
    <w:multiLevelType w:val="hybridMultilevel"/>
    <w:tmpl w:val="87485D52"/>
    <w:lvl w:ilvl="0" w:tplc="B344A4F6">
      <w:start w:val="1"/>
      <w:numFmt w:val="bullet"/>
      <w:lvlText w:val=""/>
      <w:lvlJc w:val="left"/>
      <w:pPr>
        <w:tabs>
          <w:tab w:val="num" w:pos="720"/>
        </w:tabs>
        <w:ind w:left="720" w:hanging="360"/>
      </w:pPr>
      <w:rPr>
        <w:rFonts w:ascii="Wingdings" w:hAnsi="Wingdings" w:hint="default"/>
      </w:rPr>
    </w:lvl>
    <w:lvl w:ilvl="1" w:tplc="B5168840">
      <w:start w:val="1"/>
      <w:numFmt w:val="bullet"/>
      <w:lvlText w:val=""/>
      <w:lvlJc w:val="left"/>
      <w:pPr>
        <w:tabs>
          <w:tab w:val="num" w:pos="1440"/>
        </w:tabs>
        <w:ind w:left="1440" w:hanging="360"/>
      </w:pPr>
      <w:rPr>
        <w:rFonts w:ascii="Wingdings 2" w:hAnsi="Wingdings 2"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44E6124"/>
    <w:multiLevelType w:val="multilevel"/>
    <w:tmpl w:val="B8088798"/>
    <w:lvl w:ilvl="0">
      <w:start w:val="1"/>
      <w:numFmt w:val="decimal"/>
      <w:lvlText w:val="%1."/>
      <w:lvlJc w:val="left"/>
      <w:pPr>
        <w:tabs>
          <w:tab w:val="num" w:pos="822"/>
        </w:tabs>
        <w:ind w:left="822" w:hanging="680"/>
      </w:pPr>
      <w:rPr>
        <w:rFonts w:ascii="Arial Narrow" w:hAnsi="Arial Narrow" w:hint="default"/>
        <w:b w:val="0"/>
        <w:bCs w:val="0"/>
        <w:sz w:val="32"/>
        <w:szCs w:val="32"/>
      </w:rPr>
    </w:lvl>
    <w:lvl w:ilvl="1">
      <w:start w:val="1"/>
      <w:numFmt w:val="decimal"/>
      <w:lvlText w:val="%1.%2"/>
      <w:lvlJc w:val="left"/>
      <w:pPr>
        <w:tabs>
          <w:tab w:val="num" w:pos="822"/>
        </w:tabs>
        <w:ind w:left="822" w:hanging="680"/>
      </w:pPr>
      <w:rPr>
        <w:rFonts w:hint="default"/>
      </w:rPr>
    </w:lvl>
    <w:lvl w:ilvl="2">
      <w:start w:val="1"/>
      <w:numFmt w:val="lowerLetter"/>
      <w:lvlText w:val="(%3)"/>
      <w:lvlJc w:val="left"/>
      <w:pPr>
        <w:tabs>
          <w:tab w:val="num" w:pos="1503"/>
        </w:tabs>
        <w:ind w:left="1503" w:hanging="681"/>
      </w:pPr>
      <w:rPr>
        <w:rFonts w:hint="default"/>
      </w:rPr>
    </w:lvl>
    <w:lvl w:ilvl="3">
      <w:start w:val="1"/>
      <w:numFmt w:val="lowerRoman"/>
      <w:lvlText w:val="(%4)"/>
      <w:lvlJc w:val="left"/>
      <w:pPr>
        <w:tabs>
          <w:tab w:val="num" w:pos="2183"/>
        </w:tabs>
        <w:ind w:left="2183" w:hanging="680"/>
      </w:pPr>
      <w:rPr>
        <w:rFonts w:hint="default"/>
      </w:rPr>
    </w:lvl>
    <w:lvl w:ilvl="4">
      <w:start w:val="1"/>
      <w:numFmt w:val="upperLetter"/>
      <w:lvlText w:val="(%5)"/>
      <w:lvlJc w:val="left"/>
      <w:pPr>
        <w:tabs>
          <w:tab w:val="num" w:pos="2864"/>
        </w:tabs>
        <w:ind w:left="2864" w:hanging="681"/>
      </w:pPr>
      <w:rPr>
        <w:rFonts w:hint="default"/>
      </w:rPr>
    </w:lvl>
    <w:lvl w:ilvl="5">
      <w:start w:val="1"/>
      <w:numFmt w:val="none"/>
      <w:lvlText w:val=""/>
      <w:lvlJc w:val="left"/>
      <w:pPr>
        <w:tabs>
          <w:tab w:val="num" w:pos="142"/>
        </w:tabs>
        <w:ind w:left="142" w:firstLine="0"/>
      </w:pPr>
      <w:rPr>
        <w:rFonts w:hint="default"/>
      </w:rPr>
    </w:lvl>
    <w:lvl w:ilvl="6">
      <w:start w:val="1"/>
      <w:numFmt w:val="none"/>
      <w:lvlText w:val="%7"/>
      <w:lvlJc w:val="left"/>
      <w:pPr>
        <w:tabs>
          <w:tab w:val="num" w:pos="142"/>
        </w:tabs>
        <w:ind w:left="142" w:firstLine="0"/>
      </w:pPr>
      <w:rPr>
        <w:rFonts w:hint="default"/>
      </w:rPr>
    </w:lvl>
    <w:lvl w:ilvl="7">
      <w:start w:val="1"/>
      <w:numFmt w:val="none"/>
      <w:suff w:val="nothing"/>
      <w:lvlText w:val="%8"/>
      <w:lvlJc w:val="left"/>
      <w:pPr>
        <w:ind w:left="142" w:firstLine="0"/>
      </w:pPr>
      <w:rPr>
        <w:rFonts w:hint="default"/>
      </w:rPr>
    </w:lvl>
    <w:lvl w:ilvl="8">
      <w:start w:val="1"/>
      <w:numFmt w:val="none"/>
      <w:suff w:val="nothing"/>
      <w:lvlText w:val="%9"/>
      <w:lvlJc w:val="left"/>
      <w:pPr>
        <w:ind w:left="142" w:firstLine="0"/>
      </w:pPr>
      <w:rPr>
        <w:rFonts w:hint="default"/>
      </w:rPr>
    </w:lvl>
  </w:abstractNum>
  <w:abstractNum w:abstractNumId="23">
    <w:nsid w:val="6E6568BB"/>
    <w:multiLevelType w:val="hybridMultilevel"/>
    <w:tmpl w:val="93E07882"/>
    <w:lvl w:ilvl="0" w:tplc="FB20ABCA">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EC42FB1"/>
    <w:multiLevelType w:val="hybridMultilevel"/>
    <w:tmpl w:val="5B64732C"/>
    <w:lvl w:ilvl="0" w:tplc="CA188448">
      <w:start w:val="1"/>
      <w:numFmt w:val="bullet"/>
      <w:lvlText w:val=""/>
      <w:lvlJc w:val="left"/>
      <w:pPr>
        <w:tabs>
          <w:tab w:val="num" w:pos="454"/>
        </w:tabs>
        <w:ind w:left="454" w:hanging="397"/>
      </w:pPr>
      <w:rPr>
        <w:rFonts w:ascii="Symbol" w:hAnsi="Symbol" w:hint="default"/>
        <w:color w:val="333399"/>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7CDE14AB"/>
    <w:multiLevelType w:val="hybridMultilevel"/>
    <w:tmpl w:val="1C124016"/>
    <w:lvl w:ilvl="0" w:tplc="F7A05EC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23"/>
  </w:num>
  <w:num w:numId="3">
    <w:abstractNumId w:val="20"/>
  </w:num>
  <w:num w:numId="4">
    <w:abstractNumId w:val="21"/>
  </w:num>
  <w:num w:numId="5">
    <w:abstractNumId w:val="14"/>
  </w:num>
  <w:num w:numId="6">
    <w:abstractNumId w:val="2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6"/>
  </w:num>
  <w:num w:numId="10">
    <w:abstractNumId w:val="18"/>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7"/>
  </w:num>
  <w:num w:numId="22">
    <w:abstractNumId w:val="25"/>
  </w:num>
  <w:num w:numId="23">
    <w:abstractNumId w:val="13"/>
  </w:num>
  <w:num w:numId="24">
    <w:abstractNumId w:val="11"/>
  </w:num>
  <w:num w:numId="25">
    <w:abstractNumId w:val="12"/>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attachedTemplate r:id="rId1"/>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15361">
      <o:colormru v:ext="edit" colors="#ffc42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B1"/>
    <w:rsid w:val="00005B08"/>
    <w:rsid w:val="000108B2"/>
    <w:rsid w:val="000138F5"/>
    <w:rsid w:val="00021CB0"/>
    <w:rsid w:val="00022290"/>
    <w:rsid w:val="0002340E"/>
    <w:rsid w:val="00024BAE"/>
    <w:rsid w:val="00040A50"/>
    <w:rsid w:val="00042BAB"/>
    <w:rsid w:val="000435A6"/>
    <w:rsid w:val="00045E77"/>
    <w:rsid w:val="0004657F"/>
    <w:rsid w:val="000533F9"/>
    <w:rsid w:val="0006125F"/>
    <w:rsid w:val="000656A6"/>
    <w:rsid w:val="00074BD4"/>
    <w:rsid w:val="00083C29"/>
    <w:rsid w:val="000939E6"/>
    <w:rsid w:val="000A0DC5"/>
    <w:rsid w:val="000A1A90"/>
    <w:rsid w:val="000A4472"/>
    <w:rsid w:val="000A6A74"/>
    <w:rsid w:val="000B7399"/>
    <w:rsid w:val="000C446B"/>
    <w:rsid w:val="000D1083"/>
    <w:rsid w:val="000D439B"/>
    <w:rsid w:val="000D631E"/>
    <w:rsid w:val="000D675B"/>
    <w:rsid w:val="000D7EF9"/>
    <w:rsid w:val="000E0055"/>
    <w:rsid w:val="000E097E"/>
    <w:rsid w:val="000F5C33"/>
    <w:rsid w:val="001066C1"/>
    <w:rsid w:val="0010761A"/>
    <w:rsid w:val="00111E51"/>
    <w:rsid w:val="00113805"/>
    <w:rsid w:val="001209BE"/>
    <w:rsid w:val="00121923"/>
    <w:rsid w:val="00123B5C"/>
    <w:rsid w:val="00124E32"/>
    <w:rsid w:val="00131C09"/>
    <w:rsid w:val="00132932"/>
    <w:rsid w:val="00134DF5"/>
    <w:rsid w:val="00135C75"/>
    <w:rsid w:val="00141842"/>
    <w:rsid w:val="001450E8"/>
    <w:rsid w:val="001467E4"/>
    <w:rsid w:val="00150874"/>
    <w:rsid w:val="001509F3"/>
    <w:rsid w:val="00151ED1"/>
    <w:rsid w:val="00156177"/>
    <w:rsid w:val="001647B6"/>
    <w:rsid w:val="001837C1"/>
    <w:rsid w:val="00187BF6"/>
    <w:rsid w:val="001934C2"/>
    <w:rsid w:val="00197699"/>
    <w:rsid w:val="001A2DFE"/>
    <w:rsid w:val="001A786E"/>
    <w:rsid w:val="001B43CF"/>
    <w:rsid w:val="001B6395"/>
    <w:rsid w:val="001C004A"/>
    <w:rsid w:val="001D0016"/>
    <w:rsid w:val="001D0EE3"/>
    <w:rsid w:val="001E7E4A"/>
    <w:rsid w:val="001F274D"/>
    <w:rsid w:val="001F3740"/>
    <w:rsid w:val="001F7D84"/>
    <w:rsid w:val="00211950"/>
    <w:rsid w:val="002149EC"/>
    <w:rsid w:val="00214ED0"/>
    <w:rsid w:val="00215140"/>
    <w:rsid w:val="00220A0A"/>
    <w:rsid w:val="002277A9"/>
    <w:rsid w:val="00233BFA"/>
    <w:rsid w:val="0024319E"/>
    <w:rsid w:val="00247DF8"/>
    <w:rsid w:val="00251024"/>
    <w:rsid w:val="00255D99"/>
    <w:rsid w:val="00262B49"/>
    <w:rsid w:val="00267FE2"/>
    <w:rsid w:val="00271267"/>
    <w:rsid w:val="0028464B"/>
    <w:rsid w:val="00284FCB"/>
    <w:rsid w:val="002936E4"/>
    <w:rsid w:val="002947D3"/>
    <w:rsid w:val="002A095F"/>
    <w:rsid w:val="002A3E43"/>
    <w:rsid w:val="002B5568"/>
    <w:rsid w:val="002C61C4"/>
    <w:rsid w:val="002C62D7"/>
    <w:rsid w:val="002C630F"/>
    <w:rsid w:val="002C766F"/>
    <w:rsid w:val="002D3C0E"/>
    <w:rsid w:val="002D61F7"/>
    <w:rsid w:val="002E196B"/>
    <w:rsid w:val="002E531E"/>
    <w:rsid w:val="002E61A4"/>
    <w:rsid w:val="002E7E18"/>
    <w:rsid w:val="002F4CC4"/>
    <w:rsid w:val="003028F7"/>
    <w:rsid w:val="003155B8"/>
    <w:rsid w:val="00323C21"/>
    <w:rsid w:val="00324917"/>
    <w:rsid w:val="0033376E"/>
    <w:rsid w:val="003356D7"/>
    <w:rsid w:val="003364D3"/>
    <w:rsid w:val="0034004F"/>
    <w:rsid w:val="00343A0F"/>
    <w:rsid w:val="0034556E"/>
    <w:rsid w:val="003505FC"/>
    <w:rsid w:val="00360FAD"/>
    <w:rsid w:val="0036101C"/>
    <w:rsid w:val="003625FD"/>
    <w:rsid w:val="00366E4E"/>
    <w:rsid w:val="00373C75"/>
    <w:rsid w:val="0037725F"/>
    <w:rsid w:val="003813E4"/>
    <w:rsid w:val="0039263D"/>
    <w:rsid w:val="00395440"/>
    <w:rsid w:val="00395447"/>
    <w:rsid w:val="003B0363"/>
    <w:rsid w:val="003B16DA"/>
    <w:rsid w:val="003B483E"/>
    <w:rsid w:val="003B58B3"/>
    <w:rsid w:val="003B76B3"/>
    <w:rsid w:val="003D016B"/>
    <w:rsid w:val="003D14BA"/>
    <w:rsid w:val="003D4B3E"/>
    <w:rsid w:val="003E67CB"/>
    <w:rsid w:val="003F2434"/>
    <w:rsid w:val="003F5B20"/>
    <w:rsid w:val="00406BB7"/>
    <w:rsid w:val="004070C3"/>
    <w:rsid w:val="004122E9"/>
    <w:rsid w:val="004135AC"/>
    <w:rsid w:val="00424885"/>
    <w:rsid w:val="00430892"/>
    <w:rsid w:val="00432394"/>
    <w:rsid w:val="00432F30"/>
    <w:rsid w:val="00435015"/>
    <w:rsid w:val="00442A61"/>
    <w:rsid w:val="004451C3"/>
    <w:rsid w:val="00446BEA"/>
    <w:rsid w:val="00450AD2"/>
    <w:rsid w:val="00452372"/>
    <w:rsid w:val="00456222"/>
    <w:rsid w:val="00462EE6"/>
    <w:rsid w:val="0047224C"/>
    <w:rsid w:val="0049204C"/>
    <w:rsid w:val="004A2720"/>
    <w:rsid w:val="004A65CA"/>
    <w:rsid w:val="004B031A"/>
    <w:rsid w:val="004B190D"/>
    <w:rsid w:val="004B5E86"/>
    <w:rsid w:val="004B6AB5"/>
    <w:rsid w:val="004C0627"/>
    <w:rsid w:val="004C630C"/>
    <w:rsid w:val="004D4B7B"/>
    <w:rsid w:val="004D751C"/>
    <w:rsid w:val="004E1A1B"/>
    <w:rsid w:val="004E5AC1"/>
    <w:rsid w:val="004E6BBD"/>
    <w:rsid w:val="004E7227"/>
    <w:rsid w:val="004F063C"/>
    <w:rsid w:val="004F0B76"/>
    <w:rsid w:val="004F14FF"/>
    <w:rsid w:val="004F66CE"/>
    <w:rsid w:val="00513938"/>
    <w:rsid w:val="0052276C"/>
    <w:rsid w:val="005274D6"/>
    <w:rsid w:val="005378DA"/>
    <w:rsid w:val="00543BFF"/>
    <w:rsid w:val="00554A33"/>
    <w:rsid w:val="00556CDB"/>
    <w:rsid w:val="00562BED"/>
    <w:rsid w:val="005674AD"/>
    <w:rsid w:val="00570758"/>
    <w:rsid w:val="00581F49"/>
    <w:rsid w:val="00590B22"/>
    <w:rsid w:val="00591D38"/>
    <w:rsid w:val="00591E2A"/>
    <w:rsid w:val="005935DF"/>
    <w:rsid w:val="005955B2"/>
    <w:rsid w:val="005964AB"/>
    <w:rsid w:val="005975E6"/>
    <w:rsid w:val="005B05A6"/>
    <w:rsid w:val="005B0748"/>
    <w:rsid w:val="005B1B25"/>
    <w:rsid w:val="005B5647"/>
    <w:rsid w:val="005C277E"/>
    <w:rsid w:val="005C2A62"/>
    <w:rsid w:val="005C50F8"/>
    <w:rsid w:val="005C79AE"/>
    <w:rsid w:val="005D491C"/>
    <w:rsid w:val="005D63CE"/>
    <w:rsid w:val="005E46E9"/>
    <w:rsid w:val="005E4764"/>
    <w:rsid w:val="005E69B4"/>
    <w:rsid w:val="00604B05"/>
    <w:rsid w:val="00606061"/>
    <w:rsid w:val="00606763"/>
    <w:rsid w:val="00610B4F"/>
    <w:rsid w:val="006203DE"/>
    <w:rsid w:val="00621FAA"/>
    <w:rsid w:val="00624F96"/>
    <w:rsid w:val="00626B30"/>
    <w:rsid w:val="006447AB"/>
    <w:rsid w:val="00644BD0"/>
    <w:rsid w:val="006475E3"/>
    <w:rsid w:val="006519B7"/>
    <w:rsid w:val="00652973"/>
    <w:rsid w:val="0065513D"/>
    <w:rsid w:val="006564B7"/>
    <w:rsid w:val="0065668B"/>
    <w:rsid w:val="00662513"/>
    <w:rsid w:val="0067712D"/>
    <w:rsid w:val="00687F0F"/>
    <w:rsid w:val="00696A48"/>
    <w:rsid w:val="006A1C8A"/>
    <w:rsid w:val="006A679B"/>
    <w:rsid w:val="006A68AE"/>
    <w:rsid w:val="006A6EEA"/>
    <w:rsid w:val="006B0B10"/>
    <w:rsid w:val="006B1832"/>
    <w:rsid w:val="006B282D"/>
    <w:rsid w:val="006B5DC6"/>
    <w:rsid w:val="006B6141"/>
    <w:rsid w:val="006C271D"/>
    <w:rsid w:val="006C3104"/>
    <w:rsid w:val="006C5DA9"/>
    <w:rsid w:val="006D2EFC"/>
    <w:rsid w:val="006D421E"/>
    <w:rsid w:val="006D546E"/>
    <w:rsid w:val="006E0926"/>
    <w:rsid w:val="006E7FE8"/>
    <w:rsid w:val="006F7837"/>
    <w:rsid w:val="00702446"/>
    <w:rsid w:val="00702C20"/>
    <w:rsid w:val="007037A4"/>
    <w:rsid w:val="00704F86"/>
    <w:rsid w:val="0071247D"/>
    <w:rsid w:val="00723354"/>
    <w:rsid w:val="00731EC8"/>
    <w:rsid w:val="00733955"/>
    <w:rsid w:val="00735EA9"/>
    <w:rsid w:val="007412E2"/>
    <w:rsid w:val="00753998"/>
    <w:rsid w:val="00760BFC"/>
    <w:rsid w:val="0077379D"/>
    <w:rsid w:val="007740C3"/>
    <w:rsid w:val="00774214"/>
    <w:rsid w:val="00775BBD"/>
    <w:rsid w:val="0078371C"/>
    <w:rsid w:val="00783F44"/>
    <w:rsid w:val="00784ADF"/>
    <w:rsid w:val="00785F14"/>
    <w:rsid w:val="007961CE"/>
    <w:rsid w:val="007A5E25"/>
    <w:rsid w:val="007A6CE5"/>
    <w:rsid w:val="007B65C2"/>
    <w:rsid w:val="007C22D7"/>
    <w:rsid w:val="007C2B88"/>
    <w:rsid w:val="007C50A7"/>
    <w:rsid w:val="007C667B"/>
    <w:rsid w:val="007D20FB"/>
    <w:rsid w:val="007D67EE"/>
    <w:rsid w:val="007F54F1"/>
    <w:rsid w:val="00802F77"/>
    <w:rsid w:val="00805F81"/>
    <w:rsid w:val="00806C1C"/>
    <w:rsid w:val="008075A7"/>
    <w:rsid w:val="00807698"/>
    <w:rsid w:val="00807913"/>
    <w:rsid w:val="008102A1"/>
    <w:rsid w:val="00814689"/>
    <w:rsid w:val="00820045"/>
    <w:rsid w:val="00826757"/>
    <w:rsid w:val="0084119E"/>
    <w:rsid w:val="008435D6"/>
    <w:rsid w:val="008442AF"/>
    <w:rsid w:val="0085074F"/>
    <w:rsid w:val="0086073D"/>
    <w:rsid w:val="00862088"/>
    <w:rsid w:val="00867432"/>
    <w:rsid w:val="0088361A"/>
    <w:rsid w:val="00885196"/>
    <w:rsid w:val="00886A80"/>
    <w:rsid w:val="008906D7"/>
    <w:rsid w:val="008B3151"/>
    <w:rsid w:val="008C0A74"/>
    <w:rsid w:val="008C3889"/>
    <w:rsid w:val="008E34D0"/>
    <w:rsid w:val="008F20BA"/>
    <w:rsid w:val="008F2894"/>
    <w:rsid w:val="008F5023"/>
    <w:rsid w:val="008F6B7E"/>
    <w:rsid w:val="00901D16"/>
    <w:rsid w:val="00905057"/>
    <w:rsid w:val="009058B5"/>
    <w:rsid w:val="00906F99"/>
    <w:rsid w:val="00914715"/>
    <w:rsid w:val="00923241"/>
    <w:rsid w:val="009272DF"/>
    <w:rsid w:val="00933317"/>
    <w:rsid w:val="009346F4"/>
    <w:rsid w:val="00940924"/>
    <w:rsid w:val="00952F16"/>
    <w:rsid w:val="009538E6"/>
    <w:rsid w:val="00957BAC"/>
    <w:rsid w:val="00960673"/>
    <w:rsid w:val="00966E30"/>
    <w:rsid w:val="009704E4"/>
    <w:rsid w:val="00970694"/>
    <w:rsid w:val="009738AD"/>
    <w:rsid w:val="00977032"/>
    <w:rsid w:val="009775C7"/>
    <w:rsid w:val="00980B2F"/>
    <w:rsid w:val="00985D65"/>
    <w:rsid w:val="00987748"/>
    <w:rsid w:val="0099311F"/>
    <w:rsid w:val="009941BC"/>
    <w:rsid w:val="009A0289"/>
    <w:rsid w:val="009A0649"/>
    <w:rsid w:val="009A2246"/>
    <w:rsid w:val="009A5E17"/>
    <w:rsid w:val="009C22BE"/>
    <w:rsid w:val="009C388D"/>
    <w:rsid w:val="009D28A7"/>
    <w:rsid w:val="009D77F3"/>
    <w:rsid w:val="009E231A"/>
    <w:rsid w:val="009E2F64"/>
    <w:rsid w:val="009F0A4B"/>
    <w:rsid w:val="009F19BC"/>
    <w:rsid w:val="009F3844"/>
    <w:rsid w:val="009F4558"/>
    <w:rsid w:val="00A0109A"/>
    <w:rsid w:val="00A06F2C"/>
    <w:rsid w:val="00A071F8"/>
    <w:rsid w:val="00A106C0"/>
    <w:rsid w:val="00A10E2B"/>
    <w:rsid w:val="00A13173"/>
    <w:rsid w:val="00A14D4F"/>
    <w:rsid w:val="00A16557"/>
    <w:rsid w:val="00A17B12"/>
    <w:rsid w:val="00A2676C"/>
    <w:rsid w:val="00A30084"/>
    <w:rsid w:val="00A33E23"/>
    <w:rsid w:val="00A35232"/>
    <w:rsid w:val="00A357D5"/>
    <w:rsid w:val="00A3654B"/>
    <w:rsid w:val="00A41B4A"/>
    <w:rsid w:val="00A450AF"/>
    <w:rsid w:val="00A50895"/>
    <w:rsid w:val="00A73318"/>
    <w:rsid w:val="00A83136"/>
    <w:rsid w:val="00A93A9F"/>
    <w:rsid w:val="00AA399D"/>
    <w:rsid w:val="00AA44D4"/>
    <w:rsid w:val="00AA5949"/>
    <w:rsid w:val="00AB2A20"/>
    <w:rsid w:val="00AC142C"/>
    <w:rsid w:val="00AC38DC"/>
    <w:rsid w:val="00AC4AC7"/>
    <w:rsid w:val="00AC5497"/>
    <w:rsid w:val="00AC6E16"/>
    <w:rsid w:val="00AC79A9"/>
    <w:rsid w:val="00AD1238"/>
    <w:rsid w:val="00AD17F8"/>
    <w:rsid w:val="00AD4D89"/>
    <w:rsid w:val="00AE3947"/>
    <w:rsid w:val="00AF1005"/>
    <w:rsid w:val="00AF1824"/>
    <w:rsid w:val="00AF28F1"/>
    <w:rsid w:val="00AF4F00"/>
    <w:rsid w:val="00AF5CBC"/>
    <w:rsid w:val="00AF6116"/>
    <w:rsid w:val="00B021A9"/>
    <w:rsid w:val="00B1797D"/>
    <w:rsid w:val="00B27020"/>
    <w:rsid w:val="00B32CD1"/>
    <w:rsid w:val="00B331B5"/>
    <w:rsid w:val="00B33C76"/>
    <w:rsid w:val="00B346B2"/>
    <w:rsid w:val="00B362BE"/>
    <w:rsid w:val="00B41272"/>
    <w:rsid w:val="00B44CDA"/>
    <w:rsid w:val="00B61B22"/>
    <w:rsid w:val="00B71237"/>
    <w:rsid w:val="00B71261"/>
    <w:rsid w:val="00B71EA4"/>
    <w:rsid w:val="00B72DC9"/>
    <w:rsid w:val="00B837EF"/>
    <w:rsid w:val="00B85CAC"/>
    <w:rsid w:val="00B86D06"/>
    <w:rsid w:val="00B90179"/>
    <w:rsid w:val="00BA0A7A"/>
    <w:rsid w:val="00BA4FC4"/>
    <w:rsid w:val="00BA6F9E"/>
    <w:rsid w:val="00BB5088"/>
    <w:rsid w:val="00BB6B2D"/>
    <w:rsid w:val="00BB738F"/>
    <w:rsid w:val="00BD4C1C"/>
    <w:rsid w:val="00BD7320"/>
    <w:rsid w:val="00BE3528"/>
    <w:rsid w:val="00BE5A71"/>
    <w:rsid w:val="00BE5DCB"/>
    <w:rsid w:val="00BE7E2A"/>
    <w:rsid w:val="00BF12B1"/>
    <w:rsid w:val="00BF220E"/>
    <w:rsid w:val="00BF690E"/>
    <w:rsid w:val="00BF759B"/>
    <w:rsid w:val="00C053D5"/>
    <w:rsid w:val="00C16AE6"/>
    <w:rsid w:val="00C26E8A"/>
    <w:rsid w:val="00C27585"/>
    <w:rsid w:val="00C33520"/>
    <w:rsid w:val="00C37681"/>
    <w:rsid w:val="00C40215"/>
    <w:rsid w:val="00C444C4"/>
    <w:rsid w:val="00C5220C"/>
    <w:rsid w:val="00C54125"/>
    <w:rsid w:val="00C56620"/>
    <w:rsid w:val="00C63294"/>
    <w:rsid w:val="00C668CB"/>
    <w:rsid w:val="00C77DC6"/>
    <w:rsid w:val="00C83D73"/>
    <w:rsid w:val="00C926F0"/>
    <w:rsid w:val="00C9777B"/>
    <w:rsid w:val="00CA26F1"/>
    <w:rsid w:val="00CA655D"/>
    <w:rsid w:val="00CA6623"/>
    <w:rsid w:val="00CA6A33"/>
    <w:rsid w:val="00CB1B79"/>
    <w:rsid w:val="00CB3780"/>
    <w:rsid w:val="00CB39BE"/>
    <w:rsid w:val="00CC377B"/>
    <w:rsid w:val="00CD5F32"/>
    <w:rsid w:val="00CE248F"/>
    <w:rsid w:val="00CE4291"/>
    <w:rsid w:val="00CF4409"/>
    <w:rsid w:val="00D00E9E"/>
    <w:rsid w:val="00D026AC"/>
    <w:rsid w:val="00D056F3"/>
    <w:rsid w:val="00D107AE"/>
    <w:rsid w:val="00D130BA"/>
    <w:rsid w:val="00D145E3"/>
    <w:rsid w:val="00D148B8"/>
    <w:rsid w:val="00D20C0B"/>
    <w:rsid w:val="00D259B1"/>
    <w:rsid w:val="00D366BC"/>
    <w:rsid w:val="00D3765B"/>
    <w:rsid w:val="00D37F97"/>
    <w:rsid w:val="00D44F06"/>
    <w:rsid w:val="00D503F4"/>
    <w:rsid w:val="00D54880"/>
    <w:rsid w:val="00D5690B"/>
    <w:rsid w:val="00D60127"/>
    <w:rsid w:val="00D66D9A"/>
    <w:rsid w:val="00D67BD6"/>
    <w:rsid w:val="00D739C2"/>
    <w:rsid w:val="00D85A4D"/>
    <w:rsid w:val="00D8716A"/>
    <w:rsid w:val="00D908F2"/>
    <w:rsid w:val="00D96E35"/>
    <w:rsid w:val="00DA1B0A"/>
    <w:rsid w:val="00DA56E7"/>
    <w:rsid w:val="00DA7192"/>
    <w:rsid w:val="00DA7709"/>
    <w:rsid w:val="00DB0D48"/>
    <w:rsid w:val="00DB599C"/>
    <w:rsid w:val="00DB6660"/>
    <w:rsid w:val="00DB6B66"/>
    <w:rsid w:val="00DC5F5C"/>
    <w:rsid w:val="00DD1414"/>
    <w:rsid w:val="00DD69EE"/>
    <w:rsid w:val="00DF2B88"/>
    <w:rsid w:val="00E005F3"/>
    <w:rsid w:val="00E026AD"/>
    <w:rsid w:val="00E06B95"/>
    <w:rsid w:val="00E123CB"/>
    <w:rsid w:val="00E16B3E"/>
    <w:rsid w:val="00E2334E"/>
    <w:rsid w:val="00E277C8"/>
    <w:rsid w:val="00E333AC"/>
    <w:rsid w:val="00E36563"/>
    <w:rsid w:val="00E365F8"/>
    <w:rsid w:val="00E40501"/>
    <w:rsid w:val="00E41DB5"/>
    <w:rsid w:val="00E431CA"/>
    <w:rsid w:val="00E44A23"/>
    <w:rsid w:val="00E45672"/>
    <w:rsid w:val="00E456B1"/>
    <w:rsid w:val="00E4621D"/>
    <w:rsid w:val="00E52313"/>
    <w:rsid w:val="00E55837"/>
    <w:rsid w:val="00E56EC1"/>
    <w:rsid w:val="00E57675"/>
    <w:rsid w:val="00E6294E"/>
    <w:rsid w:val="00E655E0"/>
    <w:rsid w:val="00E70019"/>
    <w:rsid w:val="00E7412B"/>
    <w:rsid w:val="00E811C3"/>
    <w:rsid w:val="00E81A91"/>
    <w:rsid w:val="00E906C7"/>
    <w:rsid w:val="00E9290B"/>
    <w:rsid w:val="00E95948"/>
    <w:rsid w:val="00EA08E1"/>
    <w:rsid w:val="00EA2ED8"/>
    <w:rsid w:val="00EB0AD7"/>
    <w:rsid w:val="00EB17CA"/>
    <w:rsid w:val="00EB3190"/>
    <w:rsid w:val="00EC4FB3"/>
    <w:rsid w:val="00ED01AC"/>
    <w:rsid w:val="00ED0C08"/>
    <w:rsid w:val="00ED0D45"/>
    <w:rsid w:val="00ED1E6D"/>
    <w:rsid w:val="00ED65F6"/>
    <w:rsid w:val="00EE3B69"/>
    <w:rsid w:val="00EE42D9"/>
    <w:rsid w:val="00EF03DE"/>
    <w:rsid w:val="00EF2700"/>
    <w:rsid w:val="00F010FB"/>
    <w:rsid w:val="00F0565E"/>
    <w:rsid w:val="00F05F22"/>
    <w:rsid w:val="00F06848"/>
    <w:rsid w:val="00F12DFE"/>
    <w:rsid w:val="00F13A31"/>
    <w:rsid w:val="00F15C32"/>
    <w:rsid w:val="00F22156"/>
    <w:rsid w:val="00F32110"/>
    <w:rsid w:val="00F33784"/>
    <w:rsid w:val="00F430AF"/>
    <w:rsid w:val="00F61AC2"/>
    <w:rsid w:val="00F62331"/>
    <w:rsid w:val="00F624F2"/>
    <w:rsid w:val="00F6742E"/>
    <w:rsid w:val="00F7424D"/>
    <w:rsid w:val="00F80D2D"/>
    <w:rsid w:val="00F87ABF"/>
    <w:rsid w:val="00F94A89"/>
    <w:rsid w:val="00FA34C9"/>
    <w:rsid w:val="00FA37FC"/>
    <w:rsid w:val="00FA79F7"/>
    <w:rsid w:val="00FB5304"/>
    <w:rsid w:val="00FB5BA4"/>
    <w:rsid w:val="00FB68B6"/>
    <w:rsid w:val="00FC27C1"/>
    <w:rsid w:val="00FD0444"/>
    <w:rsid w:val="00FD542B"/>
    <w:rsid w:val="00FE361D"/>
    <w:rsid w:val="00FE3F74"/>
    <w:rsid w:val="00FE4413"/>
    <w:rsid w:val="00FE4A2D"/>
    <w:rsid w:val="00FE63B3"/>
    <w:rsid w:val="00FF5931"/>
    <w:rsid w:val="00FF608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colormru v:ext="edit" colors="#ffc42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1" w:qFormat="1"/>
    <w:lsdException w:name="heading 1" w:semiHidden="0" w:uiPriority="0" w:qFormat="1"/>
    <w:lsdException w:name="heading 2" w:semiHidden="0" w:uiPriority="0" w:qFormat="1"/>
    <w:lsdException w:name="heading 3" w:semiHidden="0" w:uiPriority="0" w:qFormat="1"/>
    <w:lsdException w:name="heading 4" w:semiHidden="0" w:uiPriority="9"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0" w:unhideWhenUsed="1"/>
    <w:lsdException w:name="toc 4" w:uiPriority="0"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iPriority="0" w:unhideWhenUsed="1"/>
    <w:lsdException w:name="caption" w:uiPriority="35" w:qFormat="1"/>
    <w:lsdException w:name="table of figures" w:unhideWhenUsed="1"/>
    <w:lsdException w:name="page number" w:uiPriority="0" w:unhideWhenUsed="1"/>
    <w:lsdException w:name="List Bullet" w:uiPriority="0"/>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Plain Text" w:uiPriority="0"/>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AC6E16"/>
    <w:pPr>
      <w:spacing w:before="160" w:line="260" w:lineRule="exact"/>
    </w:pPr>
    <w:rPr>
      <w:rFonts w:ascii="Trebuchet MS" w:hAnsi="Trebuchet MS"/>
      <w:sz w:val="19"/>
      <w:lang w:val="en-AU"/>
    </w:rPr>
  </w:style>
  <w:style w:type="paragraph" w:styleId="Heading1">
    <w:name w:val="heading 1"/>
    <w:next w:val="Text"/>
    <w:qFormat/>
    <w:rsid w:val="004F0B76"/>
    <w:pPr>
      <w:keepNext/>
      <w:spacing w:after="360"/>
      <w:outlineLvl w:val="0"/>
    </w:pPr>
    <w:rPr>
      <w:rFonts w:ascii="Arial" w:hAnsi="Arial" w:cs="Tahoma"/>
      <w:color w:val="000000"/>
      <w:kern w:val="28"/>
      <w:sz w:val="48"/>
      <w:szCs w:val="56"/>
      <w:lang w:val="en-AU"/>
    </w:rPr>
  </w:style>
  <w:style w:type="paragraph" w:styleId="Heading2">
    <w:name w:val="heading 2"/>
    <w:next w:val="Text"/>
    <w:qFormat/>
    <w:rsid w:val="005378DA"/>
    <w:pPr>
      <w:keepNext/>
      <w:spacing w:before="360"/>
      <w:ind w:right="-1"/>
      <w:outlineLvl w:val="1"/>
    </w:pPr>
    <w:rPr>
      <w:rFonts w:ascii="Arial" w:hAnsi="Arial" w:cs="Tahoma"/>
      <w:sz w:val="28"/>
      <w:lang w:val="en-AU"/>
    </w:rPr>
  </w:style>
  <w:style w:type="paragraph" w:styleId="Heading3">
    <w:name w:val="heading 3"/>
    <w:next w:val="Text"/>
    <w:link w:val="Heading3Char"/>
    <w:qFormat/>
    <w:rsid w:val="004F0B76"/>
    <w:pPr>
      <w:spacing w:before="280"/>
      <w:outlineLvl w:val="2"/>
    </w:pPr>
    <w:rPr>
      <w:rFonts w:ascii="Arial" w:hAnsi="Arial" w:cs="Tahoma"/>
      <w:color w:val="000000"/>
      <w:sz w:val="24"/>
      <w:lang w:val="en-AU"/>
    </w:rPr>
  </w:style>
  <w:style w:type="paragraph" w:styleId="Heading4">
    <w:name w:val="heading 4"/>
    <w:next w:val="Text"/>
    <w:link w:val="Heading4Char"/>
    <w:uiPriority w:val="9"/>
    <w:qFormat/>
    <w:rsid w:val="00432394"/>
    <w:pPr>
      <w:spacing w:before="280"/>
      <w:outlineLvl w:val="3"/>
    </w:pPr>
    <w:rPr>
      <w:rFonts w:ascii="Tahoma" w:hAnsi="Tahoma"/>
      <w:i/>
      <w:sz w:val="22"/>
      <w:lang w:val="en-AU"/>
    </w:rPr>
  </w:style>
  <w:style w:type="paragraph" w:styleId="Heading5">
    <w:name w:val="heading 5"/>
    <w:basedOn w:val="Normal"/>
    <w:next w:val="Normal"/>
    <w:qFormat/>
    <w:rsid w:val="006D546E"/>
    <w:pPr>
      <w:keepNext/>
      <w:outlineLvl w:val="4"/>
    </w:pPr>
    <w:rPr>
      <w:rFonts w:ascii="Tahoma" w:hAnsi="Tahoma"/>
      <w:b/>
    </w:rPr>
  </w:style>
  <w:style w:type="paragraph" w:styleId="Heading6">
    <w:name w:val="heading 6"/>
    <w:basedOn w:val="Normal"/>
    <w:next w:val="Normal"/>
    <w:qFormat/>
    <w:rsid w:val="006D546E"/>
    <w:pPr>
      <w:keepNext/>
      <w:ind w:left="2977"/>
      <w:outlineLvl w:val="5"/>
    </w:pPr>
    <w:rPr>
      <w:rFonts w:ascii="Tahoma" w:hAnsi="Tahoma"/>
      <w:sz w:val="20"/>
    </w:rPr>
  </w:style>
  <w:style w:type="paragraph" w:styleId="Heading7">
    <w:name w:val="heading 7"/>
    <w:basedOn w:val="Normal"/>
    <w:next w:val="Normal"/>
    <w:qFormat/>
    <w:rsid w:val="006D546E"/>
    <w:pPr>
      <w:keepNext/>
      <w:jc w:val="center"/>
      <w:outlineLvl w:val="6"/>
    </w:pPr>
    <w:rPr>
      <w:rFonts w:ascii="Tahoma" w:hAnsi="Tahoma"/>
      <w:spacing w:val="20"/>
      <w:sz w:val="20"/>
    </w:rPr>
  </w:style>
  <w:style w:type="paragraph" w:styleId="Heading8">
    <w:name w:val="heading 8"/>
    <w:basedOn w:val="Normal"/>
    <w:next w:val="Normal"/>
    <w:qFormat/>
    <w:rsid w:val="006D546E"/>
    <w:pPr>
      <w:keepNext/>
      <w:jc w:val="center"/>
      <w:outlineLvl w:val="7"/>
    </w:pPr>
    <w:rPr>
      <w:rFonts w:ascii="Tahoma" w:hAnsi="Tahoma"/>
      <w:color w:val="C0C0C0"/>
      <w:spacing w:val="60"/>
      <w:sz w:val="20"/>
    </w:rPr>
  </w:style>
  <w:style w:type="paragraph" w:styleId="Heading9">
    <w:name w:val="heading 9"/>
    <w:basedOn w:val="Normal"/>
    <w:next w:val="Normal"/>
    <w:link w:val="Heading9Char"/>
    <w:uiPriority w:val="9"/>
    <w:semiHidden/>
    <w:rsid w:val="00A831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5955B2"/>
    <w:pPr>
      <w:spacing w:before="160" w:line="300" w:lineRule="exact"/>
    </w:pPr>
    <w:rPr>
      <w:rFonts w:ascii="Trebuchet MS" w:hAnsi="Trebuchet MS"/>
      <w:sz w:val="19"/>
      <w:lang w:val="en-AU"/>
    </w:rPr>
  </w:style>
  <w:style w:type="character" w:customStyle="1" w:styleId="TextChar">
    <w:name w:val="Text Char"/>
    <w:basedOn w:val="DefaultParagraphFont"/>
    <w:link w:val="Text"/>
    <w:rsid w:val="005955B2"/>
    <w:rPr>
      <w:rFonts w:ascii="Trebuchet MS" w:hAnsi="Trebuchet MS"/>
      <w:sz w:val="19"/>
      <w:lang w:val="en-AU"/>
    </w:rPr>
  </w:style>
  <w:style w:type="character" w:customStyle="1" w:styleId="Heading3Char">
    <w:name w:val="Heading 3 Char"/>
    <w:basedOn w:val="DefaultParagraphFont"/>
    <w:link w:val="Heading3"/>
    <w:rsid w:val="004F0B76"/>
    <w:rPr>
      <w:rFonts w:ascii="Arial" w:hAnsi="Arial" w:cs="Tahoma"/>
      <w:color w:val="000000"/>
      <w:sz w:val="24"/>
      <w:lang w:val="en-AU"/>
    </w:rPr>
  </w:style>
  <w:style w:type="character" w:customStyle="1" w:styleId="Heading4Char">
    <w:name w:val="Heading 4 Char"/>
    <w:basedOn w:val="DefaultParagraphFont"/>
    <w:link w:val="Heading4"/>
    <w:uiPriority w:val="9"/>
    <w:rsid w:val="00432394"/>
    <w:rPr>
      <w:rFonts w:ascii="Tahoma" w:hAnsi="Tahoma"/>
      <w:i/>
      <w:sz w:val="22"/>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rsid w:val="00AD4D89"/>
    <w:pPr>
      <w:tabs>
        <w:tab w:val="right" w:pos="7655"/>
      </w:tabs>
      <w:spacing w:before="0"/>
      <w:ind w:right="-1"/>
    </w:pPr>
    <w:rPr>
      <w:rFonts w:ascii="Arial" w:hAnsi="Arial" w:cs="Arial"/>
      <w:b/>
      <w:sz w:val="17"/>
      <w:szCs w:val="17"/>
    </w:rPr>
  </w:style>
  <w:style w:type="character" w:customStyle="1" w:styleId="FooterChar">
    <w:name w:val="Footer Char"/>
    <w:link w:val="Footer"/>
    <w:uiPriority w:val="99"/>
    <w:rsid w:val="00AD4D89"/>
    <w:rPr>
      <w:rFonts w:ascii="Arial" w:hAnsi="Arial" w:cs="Arial"/>
      <w:b/>
      <w:sz w:val="17"/>
      <w:szCs w:val="17"/>
      <w:lang w:val="en-AU"/>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styleId="Header">
    <w:name w:val="header"/>
    <w:basedOn w:val="Normal"/>
    <w:link w:val="HeaderChar"/>
    <w:uiPriority w:val="99"/>
    <w:unhideWhenUsed/>
    <w:rsid w:val="003813E4"/>
    <w:pPr>
      <w:tabs>
        <w:tab w:val="center" w:pos="4513"/>
        <w:tab w:val="right" w:pos="9026"/>
      </w:tabs>
      <w:spacing w:before="0" w:line="240" w:lineRule="auto"/>
    </w:pPr>
  </w:style>
  <w:style w:type="paragraph" w:customStyle="1" w:styleId="Tabletext">
    <w:name w:val="Table text"/>
    <w:next w:val="Text"/>
    <w:rsid w:val="00150874"/>
    <w:pPr>
      <w:spacing w:before="40" w:after="40"/>
    </w:pPr>
    <w:rPr>
      <w:rFonts w:ascii="Tahoma" w:hAnsi="Tahoma"/>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link w:val="QuoteChar"/>
    <w:qFormat/>
    <w:rsid w:val="006D546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150874"/>
    <w:pPr>
      <w:tabs>
        <w:tab w:val="left" w:pos="992"/>
      </w:tabs>
      <w:spacing w:before="20" w:after="20"/>
    </w:pPr>
    <w:rPr>
      <w:rFonts w:ascii="Tahoma" w:hAnsi="Tahoma"/>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4E7227"/>
    <w:pPr>
      <w:tabs>
        <w:tab w:val="left" w:pos="284"/>
      </w:tabs>
      <w:spacing w:before="80"/>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Normal"/>
    <w:rsid w:val="003813E4"/>
    <w:pPr>
      <w:spacing w:before="360" w:after="80" w:line="240" w:lineRule="auto"/>
      <w:ind w:left="851" w:hanging="851"/>
    </w:pPr>
    <w:rPr>
      <w:rFonts w:ascii="Tahoma" w:hAnsi="Tahoma"/>
      <w:b/>
      <w:sz w:val="17"/>
    </w:rPr>
  </w:style>
  <w:style w:type="paragraph" w:customStyle="1" w:styleId="Dotpoint1">
    <w:name w:val="Dotpoint1"/>
    <w:link w:val="Dotpoint1Char"/>
    <w:rsid w:val="005C277E"/>
    <w:pPr>
      <w:numPr>
        <w:numId w:val="2"/>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3"/>
      </w:numPr>
      <w:tabs>
        <w:tab w:val="clear" w:pos="284"/>
        <w:tab w:val="left" w:pos="567"/>
      </w:tabs>
      <w:ind w:left="568" w:hanging="284"/>
    </w:pPr>
  </w:style>
  <w:style w:type="paragraph" w:customStyle="1" w:styleId="NumberedListContinuing">
    <w:name w:val="NumberedListContinuing"/>
    <w:basedOn w:val="Dotpoint1"/>
    <w:rsid w:val="00CE4291"/>
    <w:pPr>
      <w:numPr>
        <w:numId w:val="10"/>
      </w:numPr>
      <w:tabs>
        <w:tab w:val="clear" w:pos="284"/>
      </w:tabs>
    </w:pPr>
    <w:rPr>
      <w:lang w:eastAsia="en-AU"/>
    </w:rPr>
  </w:style>
  <w:style w:type="paragraph" w:customStyle="1" w:styleId="Source">
    <w:name w:val="Source"/>
    <w:rsid w:val="00113805"/>
    <w:pPr>
      <w:spacing w:before="40"/>
      <w:ind w:left="567" w:hanging="567"/>
    </w:pPr>
    <w:rPr>
      <w:rFonts w:ascii="Arial" w:hAnsi="Arial"/>
      <w:sz w:val="15"/>
      <w:lang w:val="en-AU"/>
    </w:rPr>
  </w:style>
  <w:style w:type="paragraph" w:styleId="FootnoteText">
    <w:name w:val="footnote text"/>
    <w:basedOn w:val="Text"/>
    <w:link w:val="FootnoteTextChar"/>
    <w:rsid w:val="00A50895"/>
    <w:pPr>
      <w:tabs>
        <w:tab w:val="left" w:pos="1418"/>
      </w:tabs>
      <w:spacing w:before="0" w:line="220" w:lineRule="exact"/>
      <w:ind w:left="170" w:hanging="170"/>
    </w:pPr>
    <w:rPr>
      <w:sz w:val="16"/>
    </w:rPr>
  </w:style>
  <w:style w:type="character" w:customStyle="1" w:styleId="FootnoteTextChar">
    <w:name w:val="Footnote Text Char"/>
    <w:basedOn w:val="DefaultParagraphFont"/>
    <w:link w:val="FootnoteText"/>
    <w:rsid w:val="00251024"/>
    <w:rPr>
      <w:rFonts w:ascii="Trebuchet MS" w:hAnsi="Trebuchet MS"/>
      <w:sz w:val="16"/>
      <w:lang w:val="en-AU"/>
    </w:rPr>
  </w:style>
  <w:style w:type="paragraph" w:styleId="NormalWeb">
    <w:name w:val="Normal (Web)"/>
    <w:basedOn w:val="Normal"/>
    <w:uiPriority w:val="99"/>
    <w:rsid w:val="009058B5"/>
    <w:pPr>
      <w:spacing w:before="100" w:beforeAutospacing="1" w:after="240"/>
    </w:pPr>
    <w:rPr>
      <w:sz w:val="18"/>
      <w:szCs w:val="18"/>
    </w:rPr>
  </w:style>
  <w:style w:type="paragraph" w:customStyle="1" w:styleId="Titlepage">
    <w:name w:val="Title page"/>
    <w:basedOn w:val="Heading1"/>
    <w:qFormat/>
    <w:rsid w:val="00621FAA"/>
    <w:pPr>
      <w:ind w:left="567"/>
    </w:pPr>
    <w:rPr>
      <w:rFonts w:cs="Arial"/>
      <w:sz w:val="55"/>
      <w:szCs w:val="55"/>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3813E4"/>
    <w:rPr>
      <w:rFonts w:ascii="Trebuchet MS" w:hAnsi="Trebuchet MS"/>
      <w:sz w:val="19"/>
      <w:lang w:val="en-AU"/>
    </w:rPr>
  </w:style>
  <w:style w:type="character" w:styleId="Hyperlink">
    <w:name w:val="Hyperlink"/>
    <w:basedOn w:val="DefaultParagraphFont"/>
    <w:unhideWhenUsed/>
    <w:rsid w:val="007037A4"/>
    <w:rPr>
      <w:rFonts w:ascii="Trebuchet MS" w:hAnsi="Trebuchet MS"/>
      <w:color w:val="auto"/>
      <w:sz w:val="19"/>
      <w:u w:val="none"/>
    </w:rPr>
  </w:style>
  <w:style w:type="character" w:styleId="PlaceholderText">
    <w:name w:val="Placeholder Text"/>
    <w:basedOn w:val="DefaultParagraphFont"/>
    <w:uiPriority w:val="99"/>
    <w:semiHidden/>
    <w:rsid w:val="00C5220C"/>
    <w:rPr>
      <w:color w:val="808080"/>
    </w:rPr>
  </w:style>
  <w:style w:type="paragraph" w:customStyle="1" w:styleId="Tabletitle">
    <w:name w:val="Tabletitle"/>
    <w:next w:val="Text"/>
    <w:rsid w:val="00EB0AD7"/>
    <w:pPr>
      <w:spacing w:before="360" w:after="80"/>
      <w:ind w:left="851" w:hanging="851"/>
    </w:pPr>
    <w:rPr>
      <w:rFonts w:ascii="Tahoma" w:hAnsi="Tahoma"/>
      <w:b/>
      <w:sz w:val="17"/>
      <w:lang w:val="en-AU"/>
    </w:rPr>
  </w:style>
  <w:style w:type="paragraph" w:customStyle="1" w:styleId="PublicationTitle">
    <w:name w:val="Publication Title"/>
    <w:qFormat/>
    <w:rsid w:val="006D546E"/>
    <w:pPr>
      <w:spacing w:before="3200" w:after="840"/>
      <w:ind w:left="1701"/>
    </w:pPr>
    <w:rPr>
      <w:rFonts w:ascii="Tahoma" w:hAnsi="Tahoma" w:cs="Tahoma"/>
      <w:color w:val="000000"/>
      <w:kern w:val="28"/>
      <w:sz w:val="56"/>
      <w:szCs w:val="56"/>
      <w:lang w:val="en-AU"/>
    </w:rPr>
  </w:style>
  <w:style w:type="paragraph" w:customStyle="1" w:styleId="Authors">
    <w:name w:val="Authors"/>
    <w:qFormat/>
    <w:rsid w:val="006D546E"/>
    <w:pPr>
      <w:ind w:left="1701" w:right="-1"/>
    </w:pPr>
    <w:rPr>
      <w:rFonts w:ascii="Tahoma" w:hAnsi="Tahoma" w:cs="Tahoma"/>
      <w:sz w:val="28"/>
      <w:lang w:val="en-AU"/>
    </w:rPr>
  </w:style>
  <w:style w:type="paragraph" w:customStyle="1" w:styleId="Contents">
    <w:name w:val="Contents"/>
    <w:qFormat/>
    <w:rsid w:val="003813E4"/>
    <w:pPr>
      <w:spacing w:after="1200"/>
    </w:pPr>
    <w:rPr>
      <w:rFonts w:ascii="Arial" w:hAnsi="Arial" w:cs="Arial"/>
      <w:color w:val="000000"/>
      <w:kern w:val="28"/>
      <w:sz w:val="48"/>
      <w:szCs w:val="48"/>
      <w:lang w:val="en-AU"/>
    </w:rPr>
  </w:style>
  <w:style w:type="paragraph" w:customStyle="1" w:styleId="Abouttheresearchpubtitle">
    <w:name w:val="About the research pub title"/>
    <w:qFormat/>
    <w:rsid w:val="00197699"/>
    <w:pPr>
      <w:spacing w:before="360"/>
    </w:pPr>
    <w:rPr>
      <w:rFonts w:ascii="Arial" w:hAnsi="Arial" w:cs="Tahoma"/>
      <w:i/>
      <w:sz w:val="28"/>
      <w:lang w:val="en-AU"/>
    </w:rPr>
  </w:style>
  <w:style w:type="paragraph" w:customStyle="1" w:styleId="Abouttheresearch">
    <w:name w:val="About the research"/>
    <w:uiPriority w:val="1"/>
    <w:qFormat/>
    <w:rsid w:val="006D546E"/>
    <w:rPr>
      <w:rFonts w:ascii="Tahoma" w:hAnsi="Tahoma" w:cs="Tahoma"/>
      <w:color w:val="000000"/>
      <w:kern w:val="28"/>
      <w:sz w:val="56"/>
      <w:szCs w:val="56"/>
      <w:lang w:val="en-AU"/>
    </w:rPr>
  </w:style>
  <w:style w:type="paragraph" w:customStyle="1" w:styleId="Keymessages">
    <w:name w:val="Key messages"/>
    <w:uiPriority w:val="1"/>
    <w:qFormat/>
    <w:rsid w:val="006D546E"/>
    <w:pPr>
      <w:spacing w:before="360"/>
    </w:pPr>
    <w:rPr>
      <w:rFonts w:ascii="Tahoma" w:hAnsi="Tahoma" w:cs="Tahoma"/>
      <w:sz w:val="28"/>
      <w:lang w:val="en-AU"/>
    </w:rPr>
  </w:style>
  <w:style w:type="paragraph" w:customStyle="1" w:styleId="Organisation">
    <w:name w:val="Organisation"/>
    <w:basedOn w:val="Authors"/>
    <w:uiPriority w:val="1"/>
    <w:qFormat/>
    <w:rsid w:val="006D546E"/>
    <w:pPr>
      <w:spacing w:before="120"/>
      <w:ind w:right="0"/>
    </w:pPr>
    <w:rPr>
      <w:sz w:val="24"/>
    </w:rPr>
  </w:style>
  <w:style w:type="paragraph" w:customStyle="1" w:styleId="Heading20">
    <w:name w:val="Heading2"/>
    <w:basedOn w:val="Heading3"/>
    <w:rsid w:val="00251024"/>
    <w:pPr>
      <w:keepNext/>
      <w:spacing w:before="120" w:after="240"/>
    </w:pPr>
    <w:rPr>
      <w:rFonts w:ascii="Garamond" w:hAnsi="Garamond" w:cs="Times New Roman"/>
      <w:color w:val="auto"/>
      <w:sz w:val="32"/>
      <w:szCs w:val="32"/>
      <w:lang w:eastAsia="en-AU"/>
    </w:rPr>
  </w:style>
  <w:style w:type="paragraph" w:styleId="CommentText">
    <w:name w:val="annotation text"/>
    <w:basedOn w:val="Normal"/>
    <w:link w:val="CommentTextChar"/>
    <w:uiPriority w:val="99"/>
    <w:semiHidden/>
    <w:rsid w:val="00251024"/>
    <w:pPr>
      <w:spacing w:before="0" w:line="240" w:lineRule="auto"/>
    </w:pPr>
    <w:rPr>
      <w:rFonts w:ascii="Times New Roman" w:hAnsi="Times New Roman"/>
      <w:sz w:val="20"/>
      <w:lang w:eastAsia="en-AU"/>
    </w:rPr>
  </w:style>
  <w:style w:type="character" w:customStyle="1" w:styleId="CommentTextChar">
    <w:name w:val="Comment Text Char"/>
    <w:basedOn w:val="DefaultParagraphFont"/>
    <w:link w:val="CommentText"/>
    <w:uiPriority w:val="99"/>
    <w:semiHidden/>
    <w:rsid w:val="00251024"/>
    <w:rPr>
      <w:lang w:val="en-AU" w:eastAsia="en-AU"/>
    </w:rPr>
  </w:style>
  <w:style w:type="paragraph" w:styleId="CommentSubject">
    <w:name w:val="annotation subject"/>
    <w:basedOn w:val="CommentText"/>
    <w:next w:val="CommentText"/>
    <w:link w:val="CommentSubjectChar"/>
    <w:uiPriority w:val="99"/>
    <w:semiHidden/>
    <w:rsid w:val="00251024"/>
    <w:rPr>
      <w:b/>
      <w:bCs/>
    </w:rPr>
  </w:style>
  <w:style w:type="character" w:customStyle="1" w:styleId="CommentSubjectChar">
    <w:name w:val="Comment Subject Char"/>
    <w:basedOn w:val="CommentTextChar"/>
    <w:link w:val="CommentSubject"/>
    <w:uiPriority w:val="99"/>
    <w:semiHidden/>
    <w:rsid w:val="00251024"/>
    <w:rPr>
      <w:b/>
      <w:bCs/>
      <w:lang w:val="en-AU" w:eastAsia="en-AU"/>
    </w:rPr>
  </w:style>
  <w:style w:type="character" w:styleId="FollowedHyperlink">
    <w:name w:val="FollowedHyperlink"/>
    <w:uiPriority w:val="99"/>
    <w:rsid w:val="00251024"/>
    <w:rPr>
      <w:color w:val="800080"/>
      <w:u w:val="single"/>
    </w:rPr>
  </w:style>
  <w:style w:type="character" w:styleId="Strong">
    <w:name w:val="Strong"/>
    <w:uiPriority w:val="22"/>
    <w:qFormat/>
    <w:rsid w:val="00251024"/>
    <w:rPr>
      <w:b/>
      <w:bCs/>
    </w:rPr>
  </w:style>
  <w:style w:type="paragraph" w:styleId="Title">
    <w:name w:val="Title"/>
    <w:basedOn w:val="Normal"/>
    <w:link w:val="TitleChar"/>
    <w:uiPriority w:val="10"/>
    <w:semiHidden/>
    <w:qFormat/>
    <w:rsid w:val="0025102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251024"/>
    <w:rPr>
      <w:rFonts w:asciiTheme="majorHAnsi" w:eastAsiaTheme="majorEastAsia" w:hAnsiTheme="majorHAnsi" w:cstheme="majorBidi"/>
      <w:color w:val="17365D" w:themeColor="text2" w:themeShade="BF"/>
      <w:spacing w:val="5"/>
      <w:kern w:val="28"/>
      <w:sz w:val="52"/>
      <w:szCs w:val="52"/>
      <w:lang w:val="en-AU"/>
    </w:rPr>
  </w:style>
  <w:style w:type="paragraph" w:styleId="Revision">
    <w:name w:val="Revision"/>
    <w:hidden/>
    <w:uiPriority w:val="99"/>
    <w:rsid w:val="00251024"/>
    <w:rPr>
      <w:sz w:val="22"/>
      <w:lang w:val="en-AU" w:eastAsia="en-AU"/>
    </w:rPr>
  </w:style>
  <w:style w:type="paragraph" w:customStyle="1" w:styleId="TableFont">
    <w:name w:val="TableFont"/>
    <w:basedOn w:val="Normal"/>
    <w:link w:val="TableFontChar"/>
    <w:uiPriority w:val="99"/>
    <w:rsid w:val="00251024"/>
    <w:pPr>
      <w:spacing w:before="40" w:after="40" w:line="240" w:lineRule="auto"/>
    </w:pPr>
    <w:rPr>
      <w:rFonts w:ascii="Arial" w:hAnsi="Arial" w:cs="Arial"/>
      <w:color w:val="000000"/>
      <w:sz w:val="18"/>
      <w:lang w:val="en-GB"/>
    </w:rPr>
  </w:style>
  <w:style w:type="character" w:customStyle="1" w:styleId="TableFontChar">
    <w:name w:val="TableFont Char"/>
    <w:basedOn w:val="DefaultParagraphFont"/>
    <w:link w:val="TableFont"/>
    <w:uiPriority w:val="99"/>
    <w:rsid w:val="00251024"/>
    <w:rPr>
      <w:rFonts w:ascii="Arial" w:hAnsi="Arial" w:cs="Arial"/>
      <w:color w:val="000000"/>
      <w:sz w:val="18"/>
      <w:lang w:val="en-GB"/>
    </w:rPr>
  </w:style>
  <w:style w:type="paragraph" w:customStyle="1" w:styleId="BulletList">
    <w:name w:val="BulletList"/>
    <w:basedOn w:val="Normal"/>
    <w:rsid w:val="00251024"/>
    <w:pPr>
      <w:numPr>
        <w:numId w:val="9"/>
      </w:numPr>
      <w:spacing w:before="0" w:line="240" w:lineRule="auto"/>
    </w:pPr>
    <w:rPr>
      <w:rFonts w:ascii="Times New Roman" w:hAnsi="Times New Roman"/>
      <w:sz w:val="24"/>
      <w:szCs w:val="24"/>
      <w:lang w:eastAsia="en-AU"/>
    </w:rPr>
  </w:style>
  <w:style w:type="paragraph" w:customStyle="1" w:styleId="BulletList1">
    <w:name w:val="Bullet List 1"/>
    <w:basedOn w:val="BulletList"/>
    <w:rsid w:val="00251024"/>
    <w:rPr>
      <w:rFonts w:ascii="Verdana" w:hAnsi="Verdana"/>
      <w:sz w:val="19"/>
      <w:szCs w:val="19"/>
    </w:rPr>
  </w:style>
  <w:style w:type="paragraph" w:customStyle="1" w:styleId="NumericalList">
    <w:name w:val="Numerical List"/>
    <w:basedOn w:val="Text"/>
    <w:rsid w:val="00251024"/>
    <w:pPr>
      <w:tabs>
        <w:tab w:val="left" w:pos="404"/>
      </w:tabs>
      <w:spacing w:before="0" w:line="240" w:lineRule="auto"/>
      <w:ind w:left="389" w:hanging="389"/>
    </w:pPr>
    <w:rPr>
      <w:rFonts w:ascii="Verdana" w:hAnsi="Verdana" w:cs="Arial"/>
      <w:lang w:eastAsia="en-AU"/>
    </w:rPr>
  </w:style>
  <w:style w:type="paragraph" w:customStyle="1" w:styleId="Default">
    <w:name w:val="Default"/>
    <w:rsid w:val="00251024"/>
    <w:pPr>
      <w:autoSpaceDE w:val="0"/>
      <w:autoSpaceDN w:val="0"/>
      <w:adjustRightInd w:val="0"/>
    </w:pPr>
    <w:rPr>
      <w:rFonts w:ascii="Garamond" w:eastAsia="Calibri" w:hAnsi="Garamond" w:cs="Garamond"/>
      <w:color w:val="000000"/>
      <w:sz w:val="24"/>
      <w:szCs w:val="24"/>
      <w:lang w:val="en-AU"/>
    </w:rPr>
  </w:style>
  <w:style w:type="character" w:styleId="Emphasis">
    <w:name w:val="Emphasis"/>
    <w:basedOn w:val="DefaultParagraphFont"/>
    <w:uiPriority w:val="20"/>
    <w:semiHidden/>
    <w:qFormat/>
    <w:rsid w:val="00251024"/>
    <w:rPr>
      <w:i/>
      <w:iCs/>
    </w:rPr>
  </w:style>
  <w:style w:type="paragraph" w:customStyle="1" w:styleId="Reference">
    <w:name w:val="Reference"/>
    <w:basedOn w:val="Text"/>
    <w:rsid w:val="00251024"/>
    <w:pPr>
      <w:spacing w:before="0" w:after="120" w:line="240" w:lineRule="auto"/>
    </w:pPr>
    <w:rPr>
      <w:rFonts w:ascii="Verdana" w:hAnsi="Verdana"/>
      <w:spacing w:val="8"/>
      <w:sz w:val="18"/>
      <w:szCs w:val="18"/>
      <w:lang w:eastAsia="en-AU"/>
    </w:rPr>
  </w:style>
  <w:style w:type="paragraph" w:customStyle="1" w:styleId="PullQuote">
    <w:name w:val="PullQuote"/>
    <w:basedOn w:val="Normal"/>
    <w:uiPriority w:val="1"/>
    <w:qFormat/>
    <w:rsid w:val="00543BFF"/>
    <w:pPr>
      <w:pBdr>
        <w:top w:val="single" w:sz="8" w:space="1" w:color="auto"/>
      </w:pBdr>
      <w:spacing w:before="0" w:line="280" w:lineRule="exact"/>
      <w:ind w:left="-425"/>
    </w:pPr>
    <w:rPr>
      <w:rFonts w:ascii="Arial" w:hAnsi="Arial" w:cs="Arial"/>
      <w:b/>
      <w:sz w:val="17"/>
      <w:szCs w:val="17"/>
    </w:rPr>
  </w:style>
  <w:style w:type="paragraph" w:customStyle="1" w:styleId="NumberedAlphaLevel2">
    <w:name w:val="NumberedAlphaLevel2"/>
    <w:basedOn w:val="NumberedListContinuing"/>
    <w:uiPriority w:val="1"/>
    <w:qFormat/>
    <w:rsid w:val="00606061"/>
    <w:pPr>
      <w:numPr>
        <w:numId w:val="0"/>
      </w:numPr>
      <w:tabs>
        <w:tab w:val="num" w:pos="567"/>
      </w:tabs>
      <w:spacing w:before="80"/>
      <w:ind w:left="567" w:hanging="283"/>
    </w:pPr>
    <w:rPr>
      <w:color w:val="auto"/>
    </w:rPr>
  </w:style>
  <w:style w:type="character" w:styleId="CommentReference">
    <w:name w:val="annotation reference"/>
    <w:basedOn w:val="DefaultParagraphFont"/>
    <w:uiPriority w:val="99"/>
    <w:semiHidden/>
    <w:rsid w:val="00606061"/>
    <w:rPr>
      <w:sz w:val="18"/>
      <w:szCs w:val="18"/>
    </w:rPr>
  </w:style>
  <w:style w:type="paragraph" w:styleId="Bibliography">
    <w:name w:val="Bibliography"/>
    <w:basedOn w:val="Normal"/>
    <w:next w:val="Normal"/>
    <w:uiPriority w:val="37"/>
    <w:semiHidden/>
    <w:rsid w:val="00A83136"/>
  </w:style>
  <w:style w:type="paragraph" w:styleId="BlockText">
    <w:name w:val="Block Text"/>
    <w:basedOn w:val="Normal"/>
    <w:uiPriority w:val="99"/>
    <w:semiHidden/>
    <w:rsid w:val="00A8313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rsid w:val="00A83136"/>
    <w:pPr>
      <w:spacing w:after="120"/>
    </w:pPr>
    <w:rPr>
      <w:sz w:val="16"/>
      <w:szCs w:val="16"/>
    </w:rPr>
  </w:style>
  <w:style w:type="character" w:customStyle="1" w:styleId="BodyText3Char">
    <w:name w:val="Body Text 3 Char"/>
    <w:basedOn w:val="DefaultParagraphFont"/>
    <w:link w:val="BodyText3"/>
    <w:uiPriority w:val="99"/>
    <w:semiHidden/>
    <w:rsid w:val="00A83136"/>
    <w:rPr>
      <w:rFonts w:ascii="Trebuchet MS" w:hAnsi="Trebuchet MS"/>
      <w:sz w:val="16"/>
      <w:szCs w:val="16"/>
      <w:lang w:val="en-AU"/>
    </w:rPr>
  </w:style>
  <w:style w:type="paragraph" w:styleId="BodyTextFirstIndent">
    <w:name w:val="Body Text First Indent"/>
    <w:basedOn w:val="Normal"/>
    <w:link w:val="BodyTextFirstIndentChar"/>
    <w:uiPriority w:val="99"/>
    <w:semiHidden/>
    <w:rsid w:val="00AC6E16"/>
    <w:pPr>
      <w:ind w:firstLine="360"/>
    </w:pPr>
    <w:rPr>
      <w:b/>
    </w:rPr>
  </w:style>
  <w:style w:type="character" w:customStyle="1" w:styleId="BodyTextFirstIndentChar">
    <w:name w:val="Body Text First Indent Char"/>
    <w:basedOn w:val="DefaultParagraphFont"/>
    <w:link w:val="BodyTextFirstIndent"/>
    <w:uiPriority w:val="99"/>
    <w:semiHidden/>
    <w:rsid w:val="00AC6E16"/>
    <w:rPr>
      <w:rFonts w:ascii="Trebuchet MS" w:hAnsi="Trebuchet MS"/>
      <w:b/>
      <w:sz w:val="19"/>
      <w:lang w:val="en-AU" w:eastAsia="ko-KR"/>
    </w:rPr>
  </w:style>
  <w:style w:type="paragraph" w:styleId="BodyTextFirstIndent2">
    <w:name w:val="Body Text First Indent 2"/>
    <w:basedOn w:val="Normal"/>
    <w:link w:val="BodyTextFirstIndent2Char"/>
    <w:uiPriority w:val="99"/>
    <w:semiHidden/>
    <w:rsid w:val="00AC6E16"/>
    <w:pPr>
      <w:ind w:left="360" w:firstLine="360"/>
    </w:pPr>
  </w:style>
  <w:style w:type="character" w:customStyle="1" w:styleId="BodyTextFirstIndent2Char">
    <w:name w:val="Body Text First Indent 2 Char"/>
    <w:basedOn w:val="DefaultParagraphFont"/>
    <w:link w:val="BodyTextFirstIndent2"/>
    <w:uiPriority w:val="99"/>
    <w:semiHidden/>
    <w:rsid w:val="00AC6E16"/>
    <w:rPr>
      <w:rFonts w:ascii="Trebuchet MS" w:hAnsi="Trebuchet MS"/>
      <w:sz w:val="19"/>
      <w:lang w:val="en-AU" w:eastAsia="en-AU"/>
    </w:rPr>
  </w:style>
  <w:style w:type="paragraph" w:styleId="BodyTextIndent2">
    <w:name w:val="Body Text Indent 2"/>
    <w:basedOn w:val="Normal"/>
    <w:link w:val="BodyTextIndent2Char"/>
    <w:uiPriority w:val="99"/>
    <w:semiHidden/>
    <w:rsid w:val="00A83136"/>
    <w:pPr>
      <w:spacing w:after="120" w:line="480" w:lineRule="auto"/>
      <w:ind w:left="283"/>
    </w:pPr>
  </w:style>
  <w:style w:type="character" w:customStyle="1" w:styleId="BodyTextIndent2Char">
    <w:name w:val="Body Text Indent 2 Char"/>
    <w:basedOn w:val="DefaultParagraphFont"/>
    <w:link w:val="BodyTextIndent2"/>
    <w:uiPriority w:val="99"/>
    <w:semiHidden/>
    <w:rsid w:val="00A83136"/>
    <w:rPr>
      <w:rFonts w:ascii="Trebuchet MS" w:hAnsi="Trebuchet MS"/>
      <w:sz w:val="19"/>
      <w:lang w:val="en-AU"/>
    </w:rPr>
  </w:style>
  <w:style w:type="paragraph" w:styleId="BodyTextIndent3">
    <w:name w:val="Body Text Indent 3"/>
    <w:basedOn w:val="Normal"/>
    <w:link w:val="BodyTextIndent3Char"/>
    <w:uiPriority w:val="99"/>
    <w:semiHidden/>
    <w:rsid w:val="00A831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83136"/>
    <w:rPr>
      <w:rFonts w:ascii="Trebuchet MS" w:hAnsi="Trebuchet MS"/>
      <w:sz w:val="16"/>
      <w:szCs w:val="16"/>
      <w:lang w:val="en-AU"/>
    </w:rPr>
  </w:style>
  <w:style w:type="paragraph" w:styleId="Closing">
    <w:name w:val="Closing"/>
    <w:basedOn w:val="Normal"/>
    <w:link w:val="ClosingChar"/>
    <w:uiPriority w:val="99"/>
    <w:semiHidden/>
    <w:rsid w:val="00A83136"/>
    <w:pPr>
      <w:spacing w:before="0" w:line="240" w:lineRule="auto"/>
      <w:ind w:left="4252"/>
    </w:pPr>
  </w:style>
  <w:style w:type="character" w:customStyle="1" w:styleId="ClosingChar">
    <w:name w:val="Closing Char"/>
    <w:basedOn w:val="DefaultParagraphFont"/>
    <w:link w:val="Closing"/>
    <w:uiPriority w:val="99"/>
    <w:semiHidden/>
    <w:rsid w:val="00A83136"/>
    <w:rPr>
      <w:rFonts w:ascii="Trebuchet MS" w:hAnsi="Trebuchet MS"/>
      <w:sz w:val="19"/>
      <w:lang w:val="en-AU"/>
    </w:rPr>
  </w:style>
  <w:style w:type="paragraph" w:styleId="Date">
    <w:name w:val="Date"/>
    <w:basedOn w:val="Normal"/>
    <w:next w:val="Normal"/>
    <w:link w:val="DateChar"/>
    <w:uiPriority w:val="99"/>
    <w:semiHidden/>
    <w:rsid w:val="00A83136"/>
  </w:style>
  <w:style w:type="character" w:customStyle="1" w:styleId="DateChar">
    <w:name w:val="Date Char"/>
    <w:basedOn w:val="DefaultParagraphFont"/>
    <w:link w:val="Date"/>
    <w:uiPriority w:val="99"/>
    <w:semiHidden/>
    <w:rsid w:val="00A83136"/>
    <w:rPr>
      <w:rFonts w:ascii="Trebuchet MS" w:hAnsi="Trebuchet MS"/>
      <w:sz w:val="19"/>
      <w:lang w:val="en-AU"/>
    </w:rPr>
  </w:style>
  <w:style w:type="paragraph" w:styleId="DocumentMap">
    <w:name w:val="Document Map"/>
    <w:basedOn w:val="Normal"/>
    <w:link w:val="DocumentMapChar"/>
    <w:uiPriority w:val="99"/>
    <w:semiHidden/>
    <w:rsid w:val="00A83136"/>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83136"/>
    <w:rPr>
      <w:rFonts w:ascii="Tahoma" w:hAnsi="Tahoma" w:cs="Tahoma"/>
      <w:sz w:val="16"/>
      <w:szCs w:val="16"/>
      <w:lang w:val="en-AU"/>
    </w:rPr>
  </w:style>
  <w:style w:type="paragraph" w:styleId="E-mailSignature">
    <w:name w:val="E-mail Signature"/>
    <w:basedOn w:val="Normal"/>
    <w:link w:val="E-mailSignatureChar"/>
    <w:uiPriority w:val="99"/>
    <w:semiHidden/>
    <w:rsid w:val="00A83136"/>
    <w:pPr>
      <w:spacing w:before="0" w:line="240" w:lineRule="auto"/>
    </w:pPr>
  </w:style>
  <w:style w:type="character" w:customStyle="1" w:styleId="E-mailSignatureChar">
    <w:name w:val="E-mail Signature Char"/>
    <w:basedOn w:val="DefaultParagraphFont"/>
    <w:link w:val="E-mailSignature"/>
    <w:uiPriority w:val="99"/>
    <w:semiHidden/>
    <w:rsid w:val="00A83136"/>
    <w:rPr>
      <w:rFonts w:ascii="Trebuchet MS" w:hAnsi="Trebuchet MS"/>
      <w:sz w:val="19"/>
      <w:lang w:val="en-AU"/>
    </w:rPr>
  </w:style>
  <w:style w:type="paragraph" w:styleId="EndnoteText">
    <w:name w:val="endnote text"/>
    <w:basedOn w:val="Normal"/>
    <w:link w:val="EndnoteTextChar"/>
    <w:uiPriority w:val="99"/>
    <w:semiHidden/>
    <w:rsid w:val="00A83136"/>
    <w:pPr>
      <w:spacing w:before="0" w:line="240" w:lineRule="auto"/>
    </w:pPr>
    <w:rPr>
      <w:sz w:val="20"/>
    </w:rPr>
  </w:style>
  <w:style w:type="character" w:customStyle="1" w:styleId="EndnoteTextChar">
    <w:name w:val="Endnote Text Char"/>
    <w:basedOn w:val="DefaultParagraphFont"/>
    <w:link w:val="EndnoteText"/>
    <w:uiPriority w:val="99"/>
    <w:semiHidden/>
    <w:rsid w:val="00A83136"/>
    <w:rPr>
      <w:rFonts w:ascii="Trebuchet MS" w:hAnsi="Trebuchet MS"/>
      <w:lang w:val="en-AU"/>
    </w:rPr>
  </w:style>
  <w:style w:type="paragraph" w:styleId="EnvelopeAddress">
    <w:name w:val="envelope address"/>
    <w:basedOn w:val="Normal"/>
    <w:uiPriority w:val="99"/>
    <w:semiHidden/>
    <w:rsid w:val="00A83136"/>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83136"/>
    <w:pPr>
      <w:spacing w:before="0" w:line="240" w:lineRule="auto"/>
    </w:pPr>
    <w:rPr>
      <w:rFonts w:asciiTheme="majorHAnsi" w:eastAsiaTheme="majorEastAsia" w:hAnsiTheme="majorHAnsi" w:cstheme="majorBidi"/>
      <w:sz w:val="20"/>
    </w:rPr>
  </w:style>
  <w:style w:type="character" w:customStyle="1" w:styleId="Heading9Char">
    <w:name w:val="Heading 9 Char"/>
    <w:basedOn w:val="DefaultParagraphFont"/>
    <w:link w:val="Heading9"/>
    <w:uiPriority w:val="9"/>
    <w:semiHidden/>
    <w:rsid w:val="00A83136"/>
    <w:rPr>
      <w:rFonts w:asciiTheme="majorHAnsi" w:eastAsiaTheme="majorEastAsia" w:hAnsiTheme="majorHAnsi" w:cstheme="majorBidi"/>
      <w:i/>
      <w:iCs/>
      <w:color w:val="404040" w:themeColor="text1" w:themeTint="BF"/>
      <w:lang w:val="en-AU"/>
    </w:rPr>
  </w:style>
  <w:style w:type="paragraph" w:styleId="HTMLAddress">
    <w:name w:val="HTML Address"/>
    <w:basedOn w:val="Normal"/>
    <w:link w:val="HTMLAddressChar"/>
    <w:uiPriority w:val="99"/>
    <w:semiHidden/>
    <w:rsid w:val="00A83136"/>
    <w:pPr>
      <w:spacing w:before="0" w:line="240" w:lineRule="auto"/>
    </w:pPr>
    <w:rPr>
      <w:i/>
      <w:iCs/>
    </w:rPr>
  </w:style>
  <w:style w:type="character" w:customStyle="1" w:styleId="HTMLAddressChar">
    <w:name w:val="HTML Address Char"/>
    <w:basedOn w:val="DefaultParagraphFont"/>
    <w:link w:val="HTMLAddress"/>
    <w:uiPriority w:val="99"/>
    <w:semiHidden/>
    <w:rsid w:val="00A83136"/>
    <w:rPr>
      <w:rFonts w:ascii="Trebuchet MS" w:hAnsi="Trebuchet MS"/>
      <w:i/>
      <w:iCs/>
      <w:sz w:val="19"/>
      <w:lang w:val="en-AU"/>
    </w:rPr>
  </w:style>
  <w:style w:type="paragraph" w:styleId="HTMLPreformatted">
    <w:name w:val="HTML Preformatted"/>
    <w:basedOn w:val="Normal"/>
    <w:link w:val="HTMLPreformattedChar"/>
    <w:uiPriority w:val="99"/>
    <w:semiHidden/>
    <w:rsid w:val="00A83136"/>
    <w:pPr>
      <w:spacing w:before="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A83136"/>
    <w:rPr>
      <w:rFonts w:ascii="Consolas" w:hAnsi="Consolas" w:cs="Consolas"/>
      <w:lang w:val="en-AU"/>
    </w:rPr>
  </w:style>
  <w:style w:type="paragraph" w:styleId="Index1">
    <w:name w:val="index 1"/>
    <w:basedOn w:val="Normal"/>
    <w:next w:val="Normal"/>
    <w:autoRedefine/>
    <w:uiPriority w:val="99"/>
    <w:semiHidden/>
    <w:rsid w:val="00A83136"/>
    <w:pPr>
      <w:spacing w:before="0" w:line="240" w:lineRule="auto"/>
      <w:ind w:left="190" w:hanging="190"/>
    </w:pPr>
  </w:style>
  <w:style w:type="paragraph" w:styleId="Index2">
    <w:name w:val="index 2"/>
    <w:basedOn w:val="Normal"/>
    <w:next w:val="Normal"/>
    <w:autoRedefine/>
    <w:uiPriority w:val="99"/>
    <w:semiHidden/>
    <w:rsid w:val="00A83136"/>
    <w:pPr>
      <w:spacing w:before="0" w:line="240" w:lineRule="auto"/>
      <w:ind w:left="380" w:hanging="190"/>
    </w:pPr>
  </w:style>
  <w:style w:type="paragraph" w:styleId="Index3">
    <w:name w:val="index 3"/>
    <w:basedOn w:val="Normal"/>
    <w:next w:val="Normal"/>
    <w:autoRedefine/>
    <w:uiPriority w:val="99"/>
    <w:semiHidden/>
    <w:rsid w:val="00A83136"/>
    <w:pPr>
      <w:spacing w:before="0" w:line="240" w:lineRule="auto"/>
      <w:ind w:left="570" w:hanging="190"/>
    </w:pPr>
  </w:style>
  <w:style w:type="paragraph" w:styleId="Index4">
    <w:name w:val="index 4"/>
    <w:basedOn w:val="Normal"/>
    <w:next w:val="Normal"/>
    <w:autoRedefine/>
    <w:uiPriority w:val="99"/>
    <w:semiHidden/>
    <w:rsid w:val="00A83136"/>
    <w:pPr>
      <w:spacing w:before="0" w:line="240" w:lineRule="auto"/>
      <w:ind w:left="760" w:hanging="190"/>
    </w:pPr>
  </w:style>
  <w:style w:type="paragraph" w:styleId="Index5">
    <w:name w:val="index 5"/>
    <w:basedOn w:val="Normal"/>
    <w:next w:val="Normal"/>
    <w:autoRedefine/>
    <w:uiPriority w:val="99"/>
    <w:semiHidden/>
    <w:rsid w:val="00A83136"/>
    <w:pPr>
      <w:spacing w:before="0" w:line="240" w:lineRule="auto"/>
      <w:ind w:left="950" w:hanging="190"/>
    </w:pPr>
  </w:style>
  <w:style w:type="paragraph" w:styleId="Index6">
    <w:name w:val="index 6"/>
    <w:basedOn w:val="Normal"/>
    <w:next w:val="Normal"/>
    <w:autoRedefine/>
    <w:uiPriority w:val="99"/>
    <w:semiHidden/>
    <w:rsid w:val="00A83136"/>
    <w:pPr>
      <w:spacing w:before="0" w:line="240" w:lineRule="auto"/>
      <w:ind w:left="1140" w:hanging="190"/>
    </w:pPr>
  </w:style>
  <w:style w:type="paragraph" w:styleId="Index7">
    <w:name w:val="index 7"/>
    <w:basedOn w:val="Normal"/>
    <w:next w:val="Normal"/>
    <w:autoRedefine/>
    <w:uiPriority w:val="99"/>
    <w:semiHidden/>
    <w:rsid w:val="00A83136"/>
    <w:pPr>
      <w:spacing w:before="0" w:line="240" w:lineRule="auto"/>
      <w:ind w:left="1330" w:hanging="190"/>
    </w:pPr>
  </w:style>
  <w:style w:type="paragraph" w:styleId="Index8">
    <w:name w:val="index 8"/>
    <w:basedOn w:val="Normal"/>
    <w:next w:val="Normal"/>
    <w:autoRedefine/>
    <w:uiPriority w:val="99"/>
    <w:semiHidden/>
    <w:rsid w:val="00A83136"/>
    <w:pPr>
      <w:spacing w:before="0" w:line="240" w:lineRule="auto"/>
      <w:ind w:left="1520" w:hanging="190"/>
    </w:pPr>
  </w:style>
  <w:style w:type="paragraph" w:styleId="Index9">
    <w:name w:val="index 9"/>
    <w:basedOn w:val="Normal"/>
    <w:next w:val="Normal"/>
    <w:autoRedefine/>
    <w:uiPriority w:val="99"/>
    <w:semiHidden/>
    <w:rsid w:val="00A83136"/>
    <w:pPr>
      <w:spacing w:before="0" w:line="240" w:lineRule="auto"/>
      <w:ind w:left="1710" w:hanging="190"/>
    </w:pPr>
  </w:style>
  <w:style w:type="paragraph" w:styleId="IndexHeading">
    <w:name w:val="index heading"/>
    <w:basedOn w:val="Normal"/>
    <w:next w:val="Index1"/>
    <w:uiPriority w:val="99"/>
    <w:semiHidden/>
    <w:rsid w:val="00A83136"/>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A8313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83136"/>
    <w:rPr>
      <w:rFonts w:ascii="Trebuchet MS" w:hAnsi="Trebuchet MS"/>
      <w:b/>
      <w:bCs/>
      <w:i/>
      <w:iCs/>
      <w:color w:val="4F81BD" w:themeColor="accent1"/>
      <w:sz w:val="19"/>
      <w:lang w:val="en-AU"/>
    </w:rPr>
  </w:style>
  <w:style w:type="paragraph" w:styleId="List">
    <w:name w:val="List"/>
    <w:basedOn w:val="Normal"/>
    <w:uiPriority w:val="99"/>
    <w:semiHidden/>
    <w:rsid w:val="00A83136"/>
    <w:pPr>
      <w:ind w:left="283" w:hanging="283"/>
      <w:contextualSpacing/>
    </w:pPr>
  </w:style>
  <w:style w:type="paragraph" w:styleId="List2">
    <w:name w:val="List 2"/>
    <w:basedOn w:val="Normal"/>
    <w:uiPriority w:val="99"/>
    <w:semiHidden/>
    <w:rsid w:val="00A83136"/>
    <w:pPr>
      <w:ind w:left="566" w:hanging="283"/>
      <w:contextualSpacing/>
    </w:pPr>
  </w:style>
  <w:style w:type="paragraph" w:styleId="List3">
    <w:name w:val="List 3"/>
    <w:basedOn w:val="Normal"/>
    <w:uiPriority w:val="99"/>
    <w:semiHidden/>
    <w:rsid w:val="00A83136"/>
    <w:pPr>
      <w:ind w:left="849" w:hanging="283"/>
      <w:contextualSpacing/>
    </w:pPr>
  </w:style>
  <w:style w:type="paragraph" w:styleId="List4">
    <w:name w:val="List 4"/>
    <w:basedOn w:val="Normal"/>
    <w:uiPriority w:val="99"/>
    <w:semiHidden/>
    <w:rsid w:val="00A83136"/>
    <w:pPr>
      <w:ind w:left="1132" w:hanging="283"/>
      <w:contextualSpacing/>
    </w:pPr>
  </w:style>
  <w:style w:type="paragraph" w:styleId="List5">
    <w:name w:val="List 5"/>
    <w:basedOn w:val="Normal"/>
    <w:uiPriority w:val="99"/>
    <w:semiHidden/>
    <w:rsid w:val="00A83136"/>
    <w:pPr>
      <w:ind w:left="1415" w:hanging="283"/>
      <w:contextualSpacing/>
    </w:pPr>
  </w:style>
  <w:style w:type="paragraph" w:styleId="ListBullet2">
    <w:name w:val="List Bullet 2"/>
    <w:basedOn w:val="Normal"/>
    <w:uiPriority w:val="99"/>
    <w:semiHidden/>
    <w:rsid w:val="00A83136"/>
    <w:pPr>
      <w:numPr>
        <w:numId w:val="11"/>
      </w:numPr>
      <w:contextualSpacing/>
    </w:pPr>
  </w:style>
  <w:style w:type="paragraph" w:styleId="ListBullet3">
    <w:name w:val="List Bullet 3"/>
    <w:basedOn w:val="Normal"/>
    <w:uiPriority w:val="99"/>
    <w:semiHidden/>
    <w:rsid w:val="00A83136"/>
    <w:pPr>
      <w:numPr>
        <w:numId w:val="12"/>
      </w:numPr>
      <w:contextualSpacing/>
    </w:pPr>
  </w:style>
  <w:style w:type="paragraph" w:styleId="ListBullet4">
    <w:name w:val="List Bullet 4"/>
    <w:basedOn w:val="Normal"/>
    <w:uiPriority w:val="99"/>
    <w:semiHidden/>
    <w:rsid w:val="00A83136"/>
    <w:pPr>
      <w:numPr>
        <w:numId w:val="13"/>
      </w:numPr>
      <w:contextualSpacing/>
    </w:pPr>
  </w:style>
  <w:style w:type="paragraph" w:styleId="ListBullet5">
    <w:name w:val="List Bullet 5"/>
    <w:basedOn w:val="Normal"/>
    <w:uiPriority w:val="99"/>
    <w:semiHidden/>
    <w:rsid w:val="00A83136"/>
    <w:pPr>
      <w:numPr>
        <w:numId w:val="14"/>
      </w:numPr>
      <w:contextualSpacing/>
    </w:pPr>
  </w:style>
  <w:style w:type="paragraph" w:styleId="ListContinue">
    <w:name w:val="List Continue"/>
    <w:basedOn w:val="Normal"/>
    <w:uiPriority w:val="99"/>
    <w:semiHidden/>
    <w:rsid w:val="00A83136"/>
    <w:pPr>
      <w:spacing w:after="120"/>
      <w:ind w:left="283"/>
      <w:contextualSpacing/>
    </w:pPr>
  </w:style>
  <w:style w:type="paragraph" w:styleId="ListContinue2">
    <w:name w:val="List Continue 2"/>
    <w:basedOn w:val="Normal"/>
    <w:uiPriority w:val="99"/>
    <w:semiHidden/>
    <w:rsid w:val="00A83136"/>
    <w:pPr>
      <w:spacing w:after="120"/>
      <w:ind w:left="566"/>
      <w:contextualSpacing/>
    </w:pPr>
  </w:style>
  <w:style w:type="paragraph" w:styleId="ListContinue3">
    <w:name w:val="List Continue 3"/>
    <w:basedOn w:val="Normal"/>
    <w:uiPriority w:val="99"/>
    <w:semiHidden/>
    <w:rsid w:val="00A83136"/>
    <w:pPr>
      <w:spacing w:after="120"/>
      <w:ind w:left="849"/>
      <w:contextualSpacing/>
    </w:pPr>
  </w:style>
  <w:style w:type="paragraph" w:styleId="ListContinue4">
    <w:name w:val="List Continue 4"/>
    <w:basedOn w:val="Normal"/>
    <w:uiPriority w:val="99"/>
    <w:semiHidden/>
    <w:rsid w:val="00A83136"/>
    <w:pPr>
      <w:spacing w:after="120"/>
      <w:ind w:left="1132"/>
      <w:contextualSpacing/>
    </w:pPr>
  </w:style>
  <w:style w:type="paragraph" w:styleId="ListContinue5">
    <w:name w:val="List Continue 5"/>
    <w:basedOn w:val="Normal"/>
    <w:uiPriority w:val="99"/>
    <w:semiHidden/>
    <w:rsid w:val="00A83136"/>
    <w:pPr>
      <w:spacing w:after="120"/>
      <w:ind w:left="1415"/>
      <w:contextualSpacing/>
    </w:pPr>
  </w:style>
  <w:style w:type="paragraph" w:styleId="ListNumber">
    <w:name w:val="List Number"/>
    <w:basedOn w:val="Normal"/>
    <w:uiPriority w:val="99"/>
    <w:semiHidden/>
    <w:rsid w:val="00A83136"/>
    <w:pPr>
      <w:numPr>
        <w:numId w:val="15"/>
      </w:numPr>
      <w:contextualSpacing/>
    </w:pPr>
  </w:style>
  <w:style w:type="paragraph" w:styleId="ListNumber2">
    <w:name w:val="List Number 2"/>
    <w:basedOn w:val="Normal"/>
    <w:uiPriority w:val="99"/>
    <w:semiHidden/>
    <w:rsid w:val="00A83136"/>
    <w:pPr>
      <w:numPr>
        <w:numId w:val="16"/>
      </w:numPr>
      <w:contextualSpacing/>
    </w:pPr>
  </w:style>
  <w:style w:type="paragraph" w:styleId="ListNumber3">
    <w:name w:val="List Number 3"/>
    <w:basedOn w:val="Normal"/>
    <w:uiPriority w:val="99"/>
    <w:semiHidden/>
    <w:rsid w:val="00A83136"/>
    <w:pPr>
      <w:numPr>
        <w:numId w:val="17"/>
      </w:numPr>
      <w:contextualSpacing/>
    </w:pPr>
  </w:style>
  <w:style w:type="paragraph" w:styleId="ListNumber4">
    <w:name w:val="List Number 4"/>
    <w:basedOn w:val="Normal"/>
    <w:uiPriority w:val="99"/>
    <w:semiHidden/>
    <w:rsid w:val="00A83136"/>
    <w:pPr>
      <w:numPr>
        <w:numId w:val="18"/>
      </w:numPr>
      <w:contextualSpacing/>
    </w:pPr>
  </w:style>
  <w:style w:type="paragraph" w:styleId="ListNumber5">
    <w:name w:val="List Number 5"/>
    <w:basedOn w:val="Normal"/>
    <w:uiPriority w:val="99"/>
    <w:semiHidden/>
    <w:rsid w:val="00A83136"/>
    <w:pPr>
      <w:numPr>
        <w:numId w:val="19"/>
      </w:numPr>
      <w:contextualSpacing/>
    </w:pPr>
  </w:style>
  <w:style w:type="paragraph" w:styleId="MacroText">
    <w:name w:val="macro"/>
    <w:link w:val="MacroTextChar"/>
    <w:uiPriority w:val="99"/>
    <w:semiHidden/>
    <w:rsid w:val="00A83136"/>
    <w:pPr>
      <w:tabs>
        <w:tab w:val="left" w:pos="480"/>
        <w:tab w:val="left" w:pos="960"/>
        <w:tab w:val="left" w:pos="1440"/>
        <w:tab w:val="left" w:pos="1920"/>
        <w:tab w:val="left" w:pos="2400"/>
        <w:tab w:val="left" w:pos="2880"/>
        <w:tab w:val="left" w:pos="3360"/>
        <w:tab w:val="left" w:pos="3840"/>
        <w:tab w:val="left" w:pos="4320"/>
      </w:tabs>
      <w:spacing w:before="160" w:line="260" w:lineRule="exact"/>
    </w:pPr>
    <w:rPr>
      <w:rFonts w:ascii="Consolas" w:hAnsi="Consolas" w:cs="Consolas"/>
      <w:lang w:val="en-AU"/>
    </w:rPr>
  </w:style>
  <w:style w:type="character" w:customStyle="1" w:styleId="MacroTextChar">
    <w:name w:val="Macro Text Char"/>
    <w:basedOn w:val="DefaultParagraphFont"/>
    <w:link w:val="MacroText"/>
    <w:uiPriority w:val="99"/>
    <w:semiHidden/>
    <w:rsid w:val="00A83136"/>
    <w:rPr>
      <w:rFonts w:ascii="Consolas" w:hAnsi="Consolas" w:cs="Consolas"/>
      <w:lang w:val="en-AU"/>
    </w:rPr>
  </w:style>
  <w:style w:type="paragraph" w:styleId="MessageHeader">
    <w:name w:val="Message Header"/>
    <w:basedOn w:val="Normal"/>
    <w:link w:val="MessageHeaderChar"/>
    <w:uiPriority w:val="99"/>
    <w:semiHidden/>
    <w:rsid w:val="00A83136"/>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3136"/>
    <w:rPr>
      <w:rFonts w:asciiTheme="majorHAnsi" w:eastAsiaTheme="majorEastAsia" w:hAnsiTheme="majorHAnsi" w:cstheme="majorBidi"/>
      <w:sz w:val="24"/>
      <w:szCs w:val="24"/>
      <w:shd w:val="pct20" w:color="auto" w:fill="auto"/>
      <w:lang w:val="en-AU"/>
    </w:rPr>
  </w:style>
  <w:style w:type="paragraph" w:styleId="NoSpacing">
    <w:name w:val="No Spacing"/>
    <w:uiPriority w:val="1"/>
    <w:semiHidden/>
    <w:qFormat/>
    <w:rsid w:val="00A83136"/>
    <w:rPr>
      <w:rFonts w:ascii="Trebuchet MS" w:hAnsi="Trebuchet MS"/>
      <w:sz w:val="19"/>
      <w:lang w:val="en-AU"/>
    </w:rPr>
  </w:style>
  <w:style w:type="paragraph" w:styleId="NormalIndent">
    <w:name w:val="Normal Indent"/>
    <w:basedOn w:val="Normal"/>
    <w:uiPriority w:val="99"/>
    <w:semiHidden/>
    <w:rsid w:val="00A83136"/>
    <w:pPr>
      <w:ind w:left="720"/>
    </w:pPr>
  </w:style>
  <w:style w:type="paragraph" w:styleId="NoteHeading">
    <w:name w:val="Note Heading"/>
    <w:basedOn w:val="Normal"/>
    <w:next w:val="Normal"/>
    <w:link w:val="NoteHeadingChar"/>
    <w:uiPriority w:val="99"/>
    <w:semiHidden/>
    <w:rsid w:val="00A83136"/>
    <w:pPr>
      <w:spacing w:before="0" w:line="240" w:lineRule="auto"/>
    </w:pPr>
  </w:style>
  <w:style w:type="character" w:customStyle="1" w:styleId="NoteHeadingChar">
    <w:name w:val="Note Heading Char"/>
    <w:basedOn w:val="DefaultParagraphFont"/>
    <w:link w:val="NoteHeading"/>
    <w:uiPriority w:val="99"/>
    <w:semiHidden/>
    <w:rsid w:val="00A83136"/>
    <w:rPr>
      <w:rFonts w:ascii="Trebuchet MS" w:hAnsi="Trebuchet MS"/>
      <w:sz w:val="19"/>
      <w:lang w:val="en-AU"/>
    </w:rPr>
  </w:style>
  <w:style w:type="paragraph" w:styleId="Salutation">
    <w:name w:val="Salutation"/>
    <w:basedOn w:val="Normal"/>
    <w:next w:val="Normal"/>
    <w:link w:val="SalutationChar"/>
    <w:uiPriority w:val="99"/>
    <w:semiHidden/>
    <w:rsid w:val="00A83136"/>
  </w:style>
  <w:style w:type="character" w:customStyle="1" w:styleId="SalutationChar">
    <w:name w:val="Salutation Char"/>
    <w:basedOn w:val="DefaultParagraphFont"/>
    <w:link w:val="Salutation"/>
    <w:uiPriority w:val="99"/>
    <w:semiHidden/>
    <w:rsid w:val="00A83136"/>
    <w:rPr>
      <w:rFonts w:ascii="Trebuchet MS" w:hAnsi="Trebuchet MS"/>
      <w:sz w:val="19"/>
      <w:lang w:val="en-AU"/>
    </w:rPr>
  </w:style>
  <w:style w:type="paragraph" w:styleId="Signature">
    <w:name w:val="Signature"/>
    <w:basedOn w:val="Normal"/>
    <w:link w:val="SignatureChar"/>
    <w:uiPriority w:val="99"/>
    <w:semiHidden/>
    <w:rsid w:val="00A83136"/>
    <w:pPr>
      <w:spacing w:before="0" w:line="240" w:lineRule="auto"/>
      <w:ind w:left="4252"/>
    </w:pPr>
  </w:style>
  <w:style w:type="character" w:customStyle="1" w:styleId="SignatureChar">
    <w:name w:val="Signature Char"/>
    <w:basedOn w:val="DefaultParagraphFont"/>
    <w:link w:val="Signature"/>
    <w:uiPriority w:val="99"/>
    <w:semiHidden/>
    <w:rsid w:val="00A83136"/>
    <w:rPr>
      <w:rFonts w:ascii="Trebuchet MS" w:hAnsi="Trebuchet MS"/>
      <w:sz w:val="19"/>
      <w:lang w:val="en-AU"/>
    </w:rPr>
  </w:style>
  <w:style w:type="paragraph" w:styleId="Subtitle">
    <w:name w:val="Subtitle"/>
    <w:basedOn w:val="Normal"/>
    <w:next w:val="Normal"/>
    <w:link w:val="SubtitleChar"/>
    <w:uiPriority w:val="11"/>
    <w:qFormat/>
    <w:rsid w:val="00A831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3136"/>
    <w:rPr>
      <w:rFonts w:asciiTheme="majorHAnsi" w:eastAsiaTheme="majorEastAsia" w:hAnsiTheme="majorHAnsi" w:cstheme="majorBidi"/>
      <w:i/>
      <w:iCs/>
      <w:color w:val="4F81BD" w:themeColor="accent1"/>
      <w:spacing w:val="15"/>
      <w:sz w:val="24"/>
      <w:szCs w:val="24"/>
      <w:lang w:val="en-AU"/>
    </w:rPr>
  </w:style>
  <w:style w:type="paragraph" w:styleId="TableofAuthorities">
    <w:name w:val="table of authorities"/>
    <w:basedOn w:val="Normal"/>
    <w:next w:val="Normal"/>
    <w:uiPriority w:val="99"/>
    <w:semiHidden/>
    <w:rsid w:val="00A83136"/>
    <w:pPr>
      <w:ind w:left="190" w:hanging="190"/>
    </w:pPr>
  </w:style>
  <w:style w:type="paragraph" w:styleId="TOAHeading">
    <w:name w:val="toa heading"/>
    <w:basedOn w:val="Normal"/>
    <w:next w:val="Normal"/>
    <w:uiPriority w:val="99"/>
    <w:semiHidden/>
    <w:rsid w:val="00A83136"/>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A83136"/>
    <w:pPr>
      <w:spacing w:after="100"/>
      <w:ind w:left="760"/>
    </w:pPr>
  </w:style>
  <w:style w:type="paragraph" w:styleId="TOC6">
    <w:name w:val="toc 6"/>
    <w:basedOn w:val="Normal"/>
    <w:next w:val="Normal"/>
    <w:autoRedefine/>
    <w:uiPriority w:val="39"/>
    <w:semiHidden/>
    <w:unhideWhenUsed/>
    <w:rsid w:val="00A83136"/>
    <w:pPr>
      <w:spacing w:after="100"/>
      <w:ind w:left="950"/>
    </w:pPr>
  </w:style>
  <w:style w:type="paragraph" w:styleId="TOC7">
    <w:name w:val="toc 7"/>
    <w:basedOn w:val="Normal"/>
    <w:next w:val="Normal"/>
    <w:autoRedefine/>
    <w:uiPriority w:val="39"/>
    <w:semiHidden/>
    <w:unhideWhenUsed/>
    <w:rsid w:val="00A83136"/>
    <w:pPr>
      <w:spacing w:after="100"/>
      <w:ind w:left="1140"/>
    </w:pPr>
  </w:style>
  <w:style w:type="paragraph" w:styleId="TOC8">
    <w:name w:val="toc 8"/>
    <w:basedOn w:val="Normal"/>
    <w:next w:val="Normal"/>
    <w:autoRedefine/>
    <w:uiPriority w:val="39"/>
    <w:semiHidden/>
    <w:unhideWhenUsed/>
    <w:rsid w:val="00A83136"/>
    <w:pPr>
      <w:spacing w:after="100"/>
      <w:ind w:left="1330"/>
    </w:pPr>
  </w:style>
  <w:style w:type="paragraph" w:styleId="TOC9">
    <w:name w:val="toc 9"/>
    <w:basedOn w:val="Normal"/>
    <w:next w:val="Normal"/>
    <w:autoRedefine/>
    <w:uiPriority w:val="39"/>
    <w:semiHidden/>
    <w:unhideWhenUsed/>
    <w:rsid w:val="00A83136"/>
    <w:pPr>
      <w:spacing w:after="100"/>
      <w:ind w:left="1520"/>
    </w:pPr>
  </w:style>
  <w:style w:type="paragraph" w:styleId="TOCHeading">
    <w:name w:val="TOC Heading"/>
    <w:basedOn w:val="Heading1"/>
    <w:next w:val="Normal"/>
    <w:uiPriority w:val="39"/>
    <w:semiHidden/>
    <w:unhideWhenUsed/>
    <w:qFormat/>
    <w:rsid w:val="00A83136"/>
    <w:pPr>
      <w:keepLines/>
      <w:spacing w:before="480" w:after="0" w:line="260" w:lineRule="exact"/>
      <w:outlineLvl w:val="9"/>
    </w:pPr>
    <w:rPr>
      <w:rFonts w:asciiTheme="majorHAnsi" w:eastAsiaTheme="majorEastAsia" w:hAnsiTheme="majorHAnsi" w:cstheme="majorBidi"/>
      <w:b/>
      <w:bCs/>
      <w:color w:val="365F91" w:themeColor="accent1" w:themeShade="BF"/>
      <w:kern w:val="0"/>
      <w:sz w:val="28"/>
      <w:szCs w:val="28"/>
    </w:rPr>
  </w:style>
  <w:style w:type="paragraph" w:customStyle="1" w:styleId="NumberedList">
    <w:name w:val="NumberedList"/>
    <w:uiPriority w:val="1"/>
    <w:qFormat/>
    <w:rsid w:val="00ED0C08"/>
    <w:pPr>
      <w:numPr>
        <w:numId w:val="20"/>
      </w:numPr>
      <w:spacing w:before="80" w:line="300" w:lineRule="exact"/>
    </w:pPr>
    <w:rPr>
      <w:rFonts w:ascii="Trebuchet MS" w:hAnsi="Trebuchet MS"/>
      <w:sz w:val="19"/>
      <w:lang w:val="en-AU" w:eastAsia="en-AU"/>
    </w:rPr>
  </w:style>
  <w:style w:type="character" w:customStyle="1" w:styleId="QuoteChar">
    <w:name w:val="Quote Char"/>
    <w:basedOn w:val="DefaultParagraphFont"/>
    <w:link w:val="Quote"/>
    <w:rsid w:val="001B6395"/>
    <w:rPr>
      <w:rFonts w:ascii="Trebuchet MS" w:hAnsi="Trebuchet MS"/>
      <w:sz w:val="17"/>
      <w:lang w:val="en-AU"/>
    </w:rPr>
  </w:style>
  <w:style w:type="character" w:styleId="FootnoteReference">
    <w:name w:val="footnote reference"/>
    <w:basedOn w:val="DefaultParagraphFont"/>
    <w:uiPriority w:val="99"/>
    <w:rsid w:val="00867432"/>
    <w:rPr>
      <w:vertAlign w:val="superscript"/>
    </w:rPr>
  </w:style>
  <w:style w:type="character" w:styleId="EndnoteReference">
    <w:name w:val="endnote reference"/>
    <w:basedOn w:val="DefaultParagraphFont"/>
    <w:uiPriority w:val="99"/>
    <w:semiHidden/>
    <w:rsid w:val="00F13A31"/>
    <w:rPr>
      <w:vertAlign w:val="superscript"/>
    </w:rPr>
  </w:style>
  <w:style w:type="paragraph" w:styleId="ListParagraph">
    <w:name w:val="List Paragraph"/>
    <w:basedOn w:val="Normal"/>
    <w:uiPriority w:val="34"/>
    <w:qFormat/>
    <w:rsid w:val="00042BAB"/>
    <w:pPr>
      <w:spacing w:before="0" w:line="240" w:lineRule="auto"/>
      <w:ind w:left="720"/>
    </w:pPr>
    <w:rPr>
      <w:rFonts w:ascii="Calibri" w:eastAsiaTheme="minorHAnsi" w:hAnsi="Calibri"/>
      <w:sz w:val="22"/>
      <w:szCs w:val="22"/>
    </w:rPr>
  </w:style>
  <w:style w:type="character" w:customStyle="1" w:styleId="Dotpoint1Char">
    <w:name w:val="Dotpoint1 Char"/>
    <w:link w:val="Dotpoint1"/>
    <w:locked/>
    <w:rsid w:val="00E655E0"/>
    <w:rPr>
      <w:rFonts w:ascii="Trebuchet MS" w:hAnsi="Trebuchet MS"/>
      <w:color w:val="000000"/>
      <w:sz w:val="19"/>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1" w:qFormat="1"/>
    <w:lsdException w:name="heading 1" w:semiHidden="0" w:uiPriority="0" w:qFormat="1"/>
    <w:lsdException w:name="heading 2" w:semiHidden="0" w:uiPriority="0" w:qFormat="1"/>
    <w:lsdException w:name="heading 3" w:semiHidden="0" w:uiPriority="0" w:qFormat="1"/>
    <w:lsdException w:name="heading 4" w:semiHidden="0" w:uiPriority="9"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0" w:unhideWhenUsed="1"/>
    <w:lsdException w:name="toc 4" w:uiPriority="0"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iPriority="0" w:unhideWhenUsed="1"/>
    <w:lsdException w:name="caption" w:uiPriority="35" w:qFormat="1"/>
    <w:lsdException w:name="table of figures" w:unhideWhenUsed="1"/>
    <w:lsdException w:name="page number" w:uiPriority="0" w:unhideWhenUsed="1"/>
    <w:lsdException w:name="List Bullet" w:uiPriority="0"/>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Plain Text" w:uiPriority="0"/>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AC6E16"/>
    <w:pPr>
      <w:spacing w:before="160" w:line="260" w:lineRule="exact"/>
    </w:pPr>
    <w:rPr>
      <w:rFonts w:ascii="Trebuchet MS" w:hAnsi="Trebuchet MS"/>
      <w:sz w:val="19"/>
      <w:lang w:val="en-AU"/>
    </w:rPr>
  </w:style>
  <w:style w:type="paragraph" w:styleId="Heading1">
    <w:name w:val="heading 1"/>
    <w:next w:val="Text"/>
    <w:qFormat/>
    <w:rsid w:val="004F0B76"/>
    <w:pPr>
      <w:keepNext/>
      <w:spacing w:after="360"/>
      <w:outlineLvl w:val="0"/>
    </w:pPr>
    <w:rPr>
      <w:rFonts w:ascii="Arial" w:hAnsi="Arial" w:cs="Tahoma"/>
      <w:color w:val="000000"/>
      <w:kern w:val="28"/>
      <w:sz w:val="48"/>
      <w:szCs w:val="56"/>
      <w:lang w:val="en-AU"/>
    </w:rPr>
  </w:style>
  <w:style w:type="paragraph" w:styleId="Heading2">
    <w:name w:val="heading 2"/>
    <w:next w:val="Text"/>
    <w:qFormat/>
    <w:rsid w:val="005378DA"/>
    <w:pPr>
      <w:keepNext/>
      <w:spacing w:before="360"/>
      <w:ind w:right="-1"/>
      <w:outlineLvl w:val="1"/>
    </w:pPr>
    <w:rPr>
      <w:rFonts w:ascii="Arial" w:hAnsi="Arial" w:cs="Tahoma"/>
      <w:sz w:val="28"/>
      <w:lang w:val="en-AU"/>
    </w:rPr>
  </w:style>
  <w:style w:type="paragraph" w:styleId="Heading3">
    <w:name w:val="heading 3"/>
    <w:next w:val="Text"/>
    <w:link w:val="Heading3Char"/>
    <w:qFormat/>
    <w:rsid w:val="004F0B76"/>
    <w:pPr>
      <w:spacing w:before="280"/>
      <w:outlineLvl w:val="2"/>
    </w:pPr>
    <w:rPr>
      <w:rFonts w:ascii="Arial" w:hAnsi="Arial" w:cs="Tahoma"/>
      <w:color w:val="000000"/>
      <w:sz w:val="24"/>
      <w:lang w:val="en-AU"/>
    </w:rPr>
  </w:style>
  <w:style w:type="paragraph" w:styleId="Heading4">
    <w:name w:val="heading 4"/>
    <w:next w:val="Text"/>
    <w:link w:val="Heading4Char"/>
    <w:uiPriority w:val="9"/>
    <w:qFormat/>
    <w:rsid w:val="00432394"/>
    <w:pPr>
      <w:spacing w:before="280"/>
      <w:outlineLvl w:val="3"/>
    </w:pPr>
    <w:rPr>
      <w:rFonts w:ascii="Tahoma" w:hAnsi="Tahoma"/>
      <w:i/>
      <w:sz w:val="22"/>
      <w:lang w:val="en-AU"/>
    </w:rPr>
  </w:style>
  <w:style w:type="paragraph" w:styleId="Heading5">
    <w:name w:val="heading 5"/>
    <w:basedOn w:val="Normal"/>
    <w:next w:val="Normal"/>
    <w:qFormat/>
    <w:rsid w:val="006D546E"/>
    <w:pPr>
      <w:keepNext/>
      <w:outlineLvl w:val="4"/>
    </w:pPr>
    <w:rPr>
      <w:rFonts w:ascii="Tahoma" w:hAnsi="Tahoma"/>
      <w:b/>
    </w:rPr>
  </w:style>
  <w:style w:type="paragraph" w:styleId="Heading6">
    <w:name w:val="heading 6"/>
    <w:basedOn w:val="Normal"/>
    <w:next w:val="Normal"/>
    <w:qFormat/>
    <w:rsid w:val="006D546E"/>
    <w:pPr>
      <w:keepNext/>
      <w:ind w:left="2977"/>
      <w:outlineLvl w:val="5"/>
    </w:pPr>
    <w:rPr>
      <w:rFonts w:ascii="Tahoma" w:hAnsi="Tahoma"/>
      <w:sz w:val="20"/>
    </w:rPr>
  </w:style>
  <w:style w:type="paragraph" w:styleId="Heading7">
    <w:name w:val="heading 7"/>
    <w:basedOn w:val="Normal"/>
    <w:next w:val="Normal"/>
    <w:qFormat/>
    <w:rsid w:val="006D546E"/>
    <w:pPr>
      <w:keepNext/>
      <w:jc w:val="center"/>
      <w:outlineLvl w:val="6"/>
    </w:pPr>
    <w:rPr>
      <w:rFonts w:ascii="Tahoma" w:hAnsi="Tahoma"/>
      <w:spacing w:val="20"/>
      <w:sz w:val="20"/>
    </w:rPr>
  </w:style>
  <w:style w:type="paragraph" w:styleId="Heading8">
    <w:name w:val="heading 8"/>
    <w:basedOn w:val="Normal"/>
    <w:next w:val="Normal"/>
    <w:qFormat/>
    <w:rsid w:val="006D546E"/>
    <w:pPr>
      <w:keepNext/>
      <w:jc w:val="center"/>
      <w:outlineLvl w:val="7"/>
    </w:pPr>
    <w:rPr>
      <w:rFonts w:ascii="Tahoma" w:hAnsi="Tahoma"/>
      <w:color w:val="C0C0C0"/>
      <w:spacing w:val="60"/>
      <w:sz w:val="20"/>
    </w:rPr>
  </w:style>
  <w:style w:type="paragraph" w:styleId="Heading9">
    <w:name w:val="heading 9"/>
    <w:basedOn w:val="Normal"/>
    <w:next w:val="Normal"/>
    <w:link w:val="Heading9Char"/>
    <w:uiPriority w:val="9"/>
    <w:semiHidden/>
    <w:rsid w:val="00A831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5955B2"/>
    <w:pPr>
      <w:spacing w:before="160" w:line="300" w:lineRule="exact"/>
    </w:pPr>
    <w:rPr>
      <w:rFonts w:ascii="Trebuchet MS" w:hAnsi="Trebuchet MS"/>
      <w:sz w:val="19"/>
      <w:lang w:val="en-AU"/>
    </w:rPr>
  </w:style>
  <w:style w:type="character" w:customStyle="1" w:styleId="TextChar">
    <w:name w:val="Text Char"/>
    <w:basedOn w:val="DefaultParagraphFont"/>
    <w:link w:val="Text"/>
    <w:rsid w:val="005955B2"/>
    <w:rPr>
      <w:rFonts w:ascii="Trebuchet MS" w:hAnsi="Trebuchet MS"/>
      <w:sz w:val="19"/>
      <w:lang w:val="en-AU"/>
    </w:rPr>
  </w:style>
  <w:style w:type="character" w:customStyle="1" w:styleId="Heading3Char">
    <w:name w:val="Heading 3 Char"/>
    <w:basedOn w:val="DefaultParagraphFont"/>
    <w:link w:val="Heading3"/>
    <w:rsid w:val="004F0B76"/>
    <w:rPr>
      <w:rFonts w:ascii="Arial" w:hAnsi="Arial" w:cs="Tahoma"/>
      <w:color w:val="000000"/>
      <w:sz w:val="24"/>
      <w:lang w:val="en-AU"/>
    </w:rPr>
  </w:style>
  <w:style w:type="character" w:customStyle="1" w:styleId="Heading4Char">
    <w:name w:val="Heading 4 Char"/>
    <w:basedOn w:val="DefaultParagraphFont"/>
    <w:link w:val="Heading4"/>
    <w:uiPriority w:val="9"/>
    <w:rsid w:val="00432394"/>
    <w:rPr>
      <w:rFonts w:ascii="Tahoma" w:hAnsi="Tahoma"/>
      <w:i/>
      <w:sz w:val="22"/>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rsid w:val="00AD4D89"/>
    <w:pPr>
      <w:tabs>
        <w:tab w:val="right" w:pos="7655"/>
      </w:tabs>
      <w:spacing w:before="0"/>
      <w:ind w:right="-1"/>
    </w:pPr>
    <w:rPr>
      <w:rFonts w:ascii="Arial" w:hAnsi="Arial" w:cs="Arial"/>
      <w:b/>
      <w:sz w:val="17"/>
      <w:szCs w:val="17"/>
    </w:rPr>
  </w:style>
  <w:style w:type="character" w:customStyle="1" w:styleId="FooterChar">
    <w:name w:val="Footer Char"/>
    <w:link w:val="Footer"/>
    <w:uiPriority w:val="99"/>
    <w:rsid w:val="00AD4D89"/>
    <w:rPr>
      <w:rFonts w:ascii="Arial" w:hAnsi="Arial" w:cs="Arial"/>
      <w:b/>
      <w:sz w:val="17"/>
      <w:szCs w:val="17"/>
      <w:lang w:val="en-AU"/>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styleId="Header">
    <w:name w:val="header"/>
    <w:basedOn w:val="Normal"/>
    <w:link w:val="HeaderChar"/>
    <w:uiPriority w:val="99"/>
    <w:unhideWhenUsed/>
    <w:rsid w:val="003813E4"/>
    <w:pPr>
      <w:tabs>
        <w:tab w:val="center" w:pos="4513"/>
        <w:tab w:val="right" w:pos="9026"/>
      </w:tabs>
      <w:spacing w:before="0" w:line="240" w:lineRule="auto"/>
    </w:pPr>
  </w:style>
  <w:style w:type="paragraph" w:customStyle="1" w:styleId="Tabletext">
    <w:name w:val="Table text"/>
    <w:next w:val="Text"/>
    <w:rsid w:val="00150874"/>
    <w:pPr>
      <w:spacing w:before="40" w:after="40"/>
    </w:pPr>
    <w:rPr>
      <w:rFonts w:ascii="Tahoma" w:hAnsi="Tahoma"/>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link w:val="QuoteChar"/>
    <w:qFormat/>
    <w:rsid w:val="006D546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150874"/>
    <w:pPr>
      <w:tabs>
        <w:tab w:val="left" w:pos="992"/>
      </w:tabs>
      <w:spacing w:before="20" w:after="20"/>
    </w:pPr>
    <w:rPr>
      <w:rFonts w:ascii="Tahoma" w:hAnsi="Tahoma"/>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4E7227"/>
    <w:pPr>
      <w:tabs>
        <w:tab w:val="left" w:pos="284"/>
      </w:tabs>
      <w:spacing w:before="80"/>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Normal"/>
    <w:rsid w:val="003813E4"/>
    <w:pPr>
      <w:spacing w:before="360" w:after="80" w:line="240" w:lineRule="auto"/>
      <w:ind w:left="851" w:hanging="851"/>
    </w:pPr>
    <w:rPr>
      <w:rFonts w:ascii="Tahoma" w:hAnsi="Tahoma"/>
      <w:b/>
      <w:sz w:val="17"/>
    </w:rPr>
  </w:style>
  <w:style w:type="paragraph" w:customStyle="1" w:styleId="Dotpoint1">
    <w:name w:val="Dotpoint1"/>
    <w:link w:val="Dotpoint1Char"/>
    <w:rsid w:val="005C277E"/>
    <w:pPr>
      <w:numPr>
        <w:numId w:val="2"/>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3"/>
      </w:numPr>
      <w:tabs>
        <w:tab w:val="clear" w:pos="284"/>
        <w:tab w:val="left" w:pos="567"/>
      </w:tabs>
      <w:ind w:left="568" w:hanging="284"/>
    </w:pPr>
  </w:style>
  <w:style w:type="paragraph" w:customStyle="1" w:styleId="NumberedListContinuing">
    <w:name w:val="NumberedListContinuing"/>
    <w:basedOn w:val="Dotpoint1"/>
    <w:rsid w:val="00CE4291"/>
    <w:pPr>
      <w:numPr>
        <w:numId w:val="10"/>
      </w:numPr>
      <w:tabs>
        <w:tab w:val="clear" w:pos="284"/>
      </w:tabs>
    </w:pPr>
    <w:rPr>
      <w:lang w:eastAsia="en-AU"/>
    </w:rPr>
  </w:style>
  <w:style w:type="paragraph" w:customStyle="1" w:styleId="Source">
    <w:name w:val="Source"/>
    <w:rsid w:val="00113805"/>
    <w:pPr>
      <w:spacing w:before="40"/>
      <w:ind w:left="567" w:hanging="567"/>
    </w:pPr>
    <w:rPr>
      <w:rFonts w:ascii="Arial" w:hAnsi="Arial"/>
      <w:sz w:val="15"/>
      <w:lang w:val="en-AU"/>
    </w:rPr>
  </w:style>
  <w:style w:type="paragraph" w:styleId="FootnoteText">
    <w:name w:val="footnote text"/>
    <w:basedOn w:val="Text"/>
    <w:link w:val="FootnoteTextChar"/>
    <w:rsid w:val="00A50895"/>
    <w:pPr>
      <w:tabs>
        <w:tab w:val="left" w:pos="1418"/>
      </w:tabs>
      <w:spacing w:before="0" w:line="220" w:lineRule="exact"/>
      <w:ind w:left="170" w:hanging="170"/>
    </w:pPr>
    <w:rPr>
      <w:sz w:val="16"/>
    </w:rPr>
  </w:style>
  <w:style w:type="character" w:customStyle="1" w:styleId="FootnoteTextChar">
    <w:name w:val="Footnote Text Char"/>
    <w:basedOn w:val="DefaultParagraphFont"/>
    <w:link w:val="FootnoteText"/>
    <w:rsid w:val="00251024"/>
    <w:rPr>
      <w:rFonts w:ascii="Trebuchet MS" w:hAnsi="Trebuchet MS"/>
      <w:sz w:val="16"/>
      <w:lang w:val="en-AU"/>
    </w:rPr>
  </w:style>
  <w:style w:type="paragraph" w:styleId="NormalWeb">
    <w:name w:val="Normal (Web)"/>
    <w:basedOn w:val="Normal"/>
    <w:uiPriority w:val="99"/>
    <w:rsid w:val="009058B5"/>
    <w:pPr>
      <w:spacing w:before="100" w:beforeAutospacing="1" w:after="240"/>
    </w:pPr>
    <w:rPr>
      <w:sz w:val="18"/>
      <w:szCs w:val="18"/>
    </w:rPr>
  </w:style>
  <w:style w:type="paragraph" w:customStyle="1" w:styleId="Titlepage">
    <w:name w:val="Title page"/>
    <w:basedOn w:val="Heading1"/>
    <w:qFormat/>
    <w:rsid w:val="00621FAA"/>
    <w:pPr>
      <w:ind w:left="567"/>
    </w:pPr>
    <w:rPr>
      <w:rFonts w:cs="Arial"/>
      <w:sz w:val="55"/>
      <w:szCs w:val="55"/>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3813E4"/>
    <w:rPr>
      <w:rFonts w:ascii="Trebuchet MS" w:hAnsi="Trebuchet MS"/>
      <w:sz w:val="19"/>
      <w:lang w:val="en-AU"/>
    </w:rPr>
  </w:style>
  <w:style w:type="character" w:styleId="Hyperlink">
    <w:name w:val="Hyperlink"/>
    <w:basedOn w:val="DefaultParagraphFont"/>
    <w:unhideWhenUsed/>
    <w:rsid w:val="007037A4"/>
    <w:rPr>
      <w:rFonts w:ascii="Trebuchet MS" w:hAnsi="Trebuchet MS"/>
      <w:color w:val="auto"/>
      <w:sz w:val="19"/>
      <w:u w:val="none"/>
    </w:rPr>
  </w:style>
  <w:style w:type="character" w:styleId="PlaceholderText">
    <w:name w:val="Placeholder Text"/>
    <w:basedOn w:val="DefaultParagraphFont"/>
    <w:uiPriority w:val="99"/>
    <w:semiHidden/>
    <w:rsid w:val="00C5220C"/>
    <w:rPr>
      <w:color w:val="808080"/>
    </w:rPr>
  </w:style>
  <w:style w:type="paragraph" w:customStyle="1" w:styleId="Tabletitle">
    <w:name w:val="Tabletitle"/>
    <w:next w:val="Text"/>
    <w:rsid w:val="00EB0AD7"/>
    <w:pPr>
      <w:spacing w:before="360" w:after="80"/>
      <w:ind w:left="851" w:hanging="851"/>
    </w:pPr>
    <w:rPr>
      <w:rFonts w:ascii="Tahoma" w:hAnsi="Tahoma"/>
      <w:b/>
      <w:sz w:val="17"/>
      <w:lang w:val="en-AU"/>
    </w:rPr>
  </w:style>
  <w:style w:type="paragraph" w:customStyle="1" w:styleId="PublicationTitle">
    <w:name w:val="Publication Title"/>
    <w:qFormat/>
    <w:rsid w:val="006D546E"/>
    <w:pPr>
      <w:spacing w:before="3200" w:after="840"/>
      <w:ind w:left="1701"/>
    </w:pPr>
    <w:rPr>
      <w:rFonts w:ascii="Tahoma" w:hAnsi="Tahoma" w:cs="Tahoma"/>
      <w:color w:val="000000"/>
      <w:kern w:val="28"/>
      <w:sz w:val="56"/>
      <w:szCs w:val="56"/>
      <w:lang w:val="en-AU"/>
    </w:rPr>
  </w:style>
  <w:style w:type="paragraph" w:customStyle="1" w:styleId="Authors">
    <w:name w:val="Authors"/>
    <w:qFormat/>
    <w:rsid w:val="006D546E"/>
    <w:pPr>
      <w:ind w:left="1701" w:right="-1"/>
    </w:pPr>
    <w:rPr>
      <w:rFonts w:ascii="Tahoma" w:hAnsi="Tahoma" w:cs="Tahoma"/>
      <w:sz w:val="28"/>
      <w:lang w:val="en-AU"/>
    </w:rPr>
  </w:style>
  <w:style w:type="paragraph" w:customStyle="1" w:styleId="Contents">
    <w:name w:val="Contents"/>
    <w:qFormat/>
    <w:rsid w:val="003813E4"/>
    <w:pPr>
      <w:spacing w:after="1200"/>
    </w:pPr>
    <w:rPr>
      <w:rFonts w:ascii="Arial" w:hAnsi="Arial" w:cs="Arial"/>
      <w:color w:val="000000"/>
      <w:kern w:val="28"/>
      <w:sz w:val="48"/>
      <w:szCs w:val="48"/>
      <w:lang w:val="en-AU"/>
    </w:rPr>
  </w:style>
  <w:style w:type="paragraph" w:customStyle="1" w:styleId="Abouttheresearchpubtitle">
    <w:name w:val="About the research pub title"/>
    <w:qFormat/>
    <w:rsid w:val="00197699"/>
    <w:pPr>
      <w:spacing w:before="360"/>
    </w:pPr>
    <w:rPr>
      <w:rFonts w:ascii="Arial" w:hAnsi="Arial" w:cs="Tahoma"/>
      <w:i/>
      <w:sz w:val="28"/>
      <w:lang w:val="en-AU"/>
    </w:rPr>
  </w:style>
  <w:style w:type="paragraph" w:customStyle="1" w:styleId="Abouttheresearch">
    <w:name w:val="About the research"/>
    <w:uiPriority w:val="1"/>
    <w:qFormat/>
    <w:rsid w:val="006D546E"/>
    <w:rPr>
      <w:rFonts w:ascii="Tahoma" w:hAnsi="Tahoma" w:cs="Tahoma"/>
      <w:color w:val="000000"/>
      <w:kern w:val="28"/>
      <w:sz w:val="56"/>
      <w:szCs w:val="56"/>
      <w:lang w:val="en-AU"/>
    </w:rPr>
  </w:style>
  <w:style w:type="paragraph" w:customStyle="1" w:styleId="Keymessages">
    <w:name w:val="Key messages"/>
    <w:uiPriority w:val="1"/>
    <w:qFormat/>
    <w:rsid w:val="006D546E"/>
    <w:pPr>
      <w:spacing w:before="360"/>
    </w:pPr>
    <w:rPr>
      <w:rFonts w:ascii="Tahoma" w:hAnsi="Tahoma" w:cs="Tahoma"/>
      <w:sz w:val="28"/>
      <w:lang w:val="en-AU"/>
    </w:rPr>
  </w:style>
  <w:style w:type="paragraph" w:customStyle="1" w:styleId="Organisation">
    <w:name w:val="Organisation"/>
    <w:basedOn w:val="Authors"/>
    <w:uiPriority w:val="1"/>
    <w:qFormat/>
    <w:rsid w:val="006D546E"/>
    <w:pPr>
      <w:spacing w:before="120"/>
      <w:ind w:right="0"/>
    </w:pPr>
    <w:rPr>
      <w:sz w:val="24"/>
    </w:rPr>
  </w:style>
  <w:style w:type="paragraph" w:customStyle="1" w:styleId="Heading20">
    <w:name w:val="Heading2"/>
    <w:basedOn w:val="Heading3"/>
    <w:rsid w:val="00251024"/>
    <w:pPr>
      <w:keepNext/>
      <w:spacing w:before="120" w:after="240"/>
    </w:pPr>
    <w:rPr>
      <w:rFonts w:ascii="Garamond" w:hAnsi="Garamond" w:cs="Times New Roman"/>
      <w:color w:val="auto"/>
      <w:sz w:val="32"/>
      <w:szCs w:val="32"/>
      <w:lang w:eastAsia="en-AU"/>
    </w:rPr>
  </w:style>
  <w:style w:type="paragraph" w:styleId="CommentText">
    <w:name w:val="annotation text"/>
    <w:basedOn w:val="Normal"/>
    <w:link w:val="CommentTextChar"/>
    <w:uiPriority w:val="99"/>
    <w:semiHidden/>
    <w:rsid w:val="00251024"/>
    <w:pPr>
      <w:spacing w:before="0" w:line="240" w:lineRule="auto"/>
    </w:pPr>
    <w:rPr>
      <w:rFonts w:ascii="Times New Roman" w:hAnsi="Times New Roman"/>
      <w:sz w:val="20"/>
      <w:lang w:eastAsia="en-AU"/>
    </w:rPr>
  </w:style>
  <w:style w:type="character" w:customStyle="1" w:styleId="CommentTextChar">
    <w:name w:val="Comment Text Char"/>
    <w:basedOn w:val="DefaultParagraphFont"/>
    <w:link w:val="CommentText"/>
    <w:uiPriority w:val="99"/>
    <w:semiHidden/>
    <w:rsid w:val="00251024"/>
    <w:rPr>
      <w:lang w:val="en-AU" w:eastAsia="en-AU"/>
    </w:rPr>
  </w:style>
  <w:style w:type="paragraph" w:styleId="CommentSubject">
    <w:name w:val="annotation subject"/>
    <w:basedOn w:val="CommentText"/>
    <w:next w:val="CommentText"/>
    <w:link w:val="CommentSubjectChar"/>
    <w:uiPriority w:val="99"/>
    <w:semiHidden/>
    <w:rsid w:val="00251024"/>
    <w:rPr>
      <w:b/>
      <w:bCs/>
    </w:rPr>
  </w:style>
  <w:style w:type="character" w:customStyle="1" w:styleId="CommentSubjectChar">
    <w:name w:val="Comment Subject Char"/>
    <w:basedOn w:val="CommentTextChar"/>
    <w:link w:val="CommentSubject"/>
    <w:uiPriority w:val="99"/>
    <w:semiHidden/>
    <w:rsid w:val="00251024"/>
    <w:rPr>
      <w:b/>
      <w:bCs/>
      <w:lang w:val="en-AU" w:eastAsia="en-AU"/>
    </w:rPr>
  </w:style>
  <w:style w:type="character" w:styleId="FollowedHyperlink">
    <w:name w:val="FollowedHyperlink"/>
    <w:uiPriority w:val="99"/>
    <w:rsid w:val="00251024"/>
    <w:rPr>
      <w:color w:val="800080"/>
      <w:u w:val="single"/>
    </w:rPr>
  </w:style>
  <w:style w:type="character" w:styleId="Strong">
    <w:name w:val="Strong"/>
    <w:uiPriority w:val="22"/>
    <w:qFormat/>
    <w:rsid w:val="00251024"/>
    <w:rPr>
      <w:b/>
      <w:bCs/>
    </w:rPr>
  </w:style>
  <w:style w:type="paragraph" w:styleId="Title">
    <w:name w:val="Title"/>
    <w:basedOn w:val="Normal"/>
    <w:link w:val="TitleChar"/>
    <w:uiPriority w:val="10"/>
    <w:semiHidden/>
    <w:qFormat/>
    <w:rsid w:val="0025102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251024"/>
    <w:rPr>
      <w:rFonts w:asciiTheme="majorHAnsi" w:eastAsiaTheme="majorEastAsia" w:hAnsiTheme="majorHAnsi" w:cstheme="majorBidi"/>
      <w:color w:val="17365D" w:themeColor="text2" w:themeShade="BF"/>
      <w:spacing w:val="5"/>
      <w:kern w:val="28"/>
      <w:sz w:val="52"/>
      <w:szCs w:val="52"/>
      <w:lang w:val="en-AU"/>
    </w:rPr>
  </w:style>
  <w:style w:type="paragraph" w:styleId="Revision">
    <w:name w:val="Revision"/>
    <w:hidden/>
    <w:uiPriority w:val="99"/>
    <w:rsid w:val="00251024"/>
    <w:rPr>
      <w:sz w:val="22"/>
      <w:lang w:val="en-AU" w:eastAsia="en-AU"/>
    </w:rPr>
  </w:style>
  <w:style w:type="paragraph" w:customStyle="1" w:styleId="TableFont">
    <w:name w:val="TableFont"/>
    <w:basedOn w:val="Normal"/>
    <w:link w:val="TableFontChar"/>
    <w:uiPriority w:val="99"/>
    <w:rsid w:val="00251024"/>
    <w:pPr>
      <w:spacing w:before="40" w:after="40" w:line="240" w:lineRule="auto"/>
    </w:pPr>
    <w:rPr>
      <w:rFonts w:ascii="Arial" w:hAnsi="Arial" w:cs="Arial"/>
      <w:color w:val="000000"/>
      <w:sz w:val="18"/>
      <w:lang w:val="en-GB"/>
    </w:rPr>
  </w:style>
  <w:style w:type="character" w:customStyle="1" w:styleId="TableFontChar">
    <w:name w:val="TableFont Char"/>
    <w:basedOn w:val="DefaultParagraphFont"/>
    <w:link w:val="TableFont"/>
    <w:uiPriority w:val="99"/>
    <w:rsid w:val="00251024"/>
    <w:rPr>
      <w:rFonts w:ascii="Arial" w:hAnsi="Arial" w:cs="Arial"/>
      <w:color w:val="000000"/>
      <w:sz w:val="18"/>
      <w:lang w:val="en-GB"/>
    </w:rPr>
  </w:style>
  <w:style w:type="paragraph" w:customStyle="1" w:styleId="BulletList">
    <w:name w:val="BulletList"/>
    <w:basedOn w:val="Normal"/>
    <w:rsid w:val="00251024"/>
    <w:pPr>
      <w:numPr>
        <w:numId w:val="9"/>
      </w:numPr>
      <w:spacing w:before="0" w:line="240" w:lineRule="auto"/>
    </w:pPr>
    <w:rPr>
      <w:rFonts w:ascii="Times New Roman" w:hAnsi="Times New Roman"/>
      <w:sz w:val="24"/>
      <w:szCs w:val="24"/>
      <w:lang w:eastAsia="en-AU"/>
    </w:rPr>
  </w:style>
  <w:style w:type="paragraph" w:customStyle="1" w:styleId="BulletList1">
    <w:name w:val="Bullet List 1"/>
    <w:basedOn w:val="BulletList"/>
    <w:rsid w:val="00251024"/>
    <w:rPr>
      <w:rFonts w:ascii="Verdana" w:hAnsi="Verdana"/>
      <w:sz w:val="19"/>
      <w:szCs w:val="19"/>
    </w:rPr>
  </w:style>
  <w:style w:type="paragraph" w:customStyle="1" w:styleId="NumericalList">
    <w:name w:val="Numerical List"/>
    <w:basedOn w:val="Text"/>
    <w:rsid w:val="00251024"/>
    <w:pPr>
      <w:tabs>
        <w:tab w:val="left" w:pos="404"/>
      </w:tabs>
      <w:spacing w:before="0" w:line="240" w:lineRule="auto"/>
      <w:ind w:left="389" w:hanging="389"/>
    </w:pPr>
    <w:rPr>
      <w:rFonts w:ascii="Verdana" w:hAnsi="Verdana" w:cs="Arial"/>
      <w:lang w:eastAsia="en-AU"/>
    </w:rPr>
  </w:style>
  <w:style w:type="paragraph" w:customStyle="1" w:styleId="Default">
    <w:name w:val="Default"/>
    <w:rsid w:val="00251024"/>
    <w:pPr>
      <w:autoSpaceDE w:val="0"/>
      <w:autoSpaceDN w:val="0"/>
      <w:adjustRightInd w:val="0"/>
    </w:pPr>
    <w:rPr>
      <w:rFonts w:ascii="Garamond" w:eastAsia="Calibri" w:hAnsi="Garamond" w:cs="Garamond"/>
      <w:color w:val="000000"/>
      <w:sz w:val="24"/>
      <w:szCs w:val="24"/>
      <w:lang w:val="en-AU"/>
    </w:rPr>
  </w:style>
  <w:style w:type="character" w:styleId="Emphasis">
    <w:name w:val="Emphasis"/>
    <w:basedOn w:val="DefaultParagraphFont"/>
    <w:uiPriority w:val="20"/>
    <w:semiHidden/>
    <w:qFormat/>
    <w:rsid w:val="00251024"/>
    <w:rPr>
      <w:i/>
      <w:iCs/>
    </w:rPr>
  </w:style>
  <w:style w:type="paragraph" w:customStyle="1" w:styleId="Reference">
    <w:name w:val="Reference"/>
    <w:basedOn w:val="Text"/>
    <w:rsid w:val="00251024"/>
    <w:pPr>
      <w:spacing w:before="0" w:after="120" w:line="240" w:lineRule="auto"/>
    </w:pPr>
    <w:rPr>
      <w:rFonts w:ascii="Verdana" w:hAnsi="Verdana"/>
      <w:spacing w:val="8"/>
      <w:sz w:val="18"/>
      <w:szCs w:val="18"/>
      <w:lang w:eastAsia="en-AU"/>
    </w:rPr>
  </w:style>
  <w:style w:type="paragraph" w:customStyle="1" w:styleId="PullQuote">
    <w:name w:val="PullQuote"/>
    <w:basedOn w:val="Normal"/>
    <w:uiPriority w:val="1"/>
    <w:qFormat/>
    <w:rsid w:val="00543BFF"/>
    <w:pPr>
      <w:pBdr>
        <w:top w:val="single" w:sz="8" w:space="1" w:color="auto"/>
      </w:pBdr>
      <w:spacing w:before="0" w:line="280" w:lineRule="exact"/>
      <w:ind w:left="-425"/>
    </w:pPr>
    <w:rPr>
      <w:rFonts w:ascii="Arial" w:hAnsi="Arial" w:cs="Arial"/>
      <w:b/>
      <w:sz w:val="17"/>
      <w:szCs w:val="17"/>
    </w:rPr>
  </w:style>
  <w:style w:type="paragraph" w:customStyle="1" w:styleId="NumberedAlphaLevel2">
    <w:name w:val="NumberedAlphaLevel2"/>
    <w:basedOn w:val="NumberedListContinuing"/>
    <w:uiPriority w:val="1"/>
    <w:qFormat/>
    <w:rsid w:val="00606061"/>
    <w:pPr>
      <w:numPr>
        <w:numId w:val="0"/>
      </w:numPr>
      <w:tabs>
        <w:tab w:val="num" w:pos="567"/>
      </w:tabs>
      <w:spacing w:before="80"/>
      <w:ind w:left="567" w:hanging="283"/>
    </w:pPr>
    <w:rPr>
      <w:color w:val="auto"/>
    </w:rPr>
  </w:style>
  <w:style w:type="character" w:styleId="CommentReference">
    <w:name w:val="annotation reference"/>
    <w:basedOn w:val="DefaultParagraphFont"/>
    <w:uiPriority w:val="99"/>
    <w:semiHidden/>
    <w:rsid w:val="00606061"/>
    <w:rPr>
      <w:sz w:val="18"/>
      <w:szCs w:val="18"/>
    </w:rPr>
  </w:style>
  <w:style w:type="paragraph" w:styleId="Bibliography">
    <w:name w:val="Bibliography"/>
    <w:basedOn w:val="Normal"/>
    <w:next w:val="Normal"/>
    <w:uiPriority w:val="37"/>
    <w:semiHidden/>
    <w:rsid w:val="00A83136"/>
  </w:style>
  <w:style w:type="paragraph" w:styleId="BlockText">
    <w:name w:val="Block Text"/>
    <w:basedOn w:val="Normal"/>
    <w:uiPriority w:val="99"/>
    <w:semiHidden/>
    <w:rsid w:val="00A8313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rsid w:val="00A83136"/>
    <w:pPr>
      <w:spacing w:after="120"/>
    </w:pPr>
    <w:rPr>
      <w:sz w:val="16"/>
      <w:szCs w:val="16"/>
    </w:rPr>
  </w:style>
  <w:style w:type="character" w:customStyle="1" w:styleId="BodyText3Char">
    <w:name w:val="Body Text 3 Char"/>
    <w:basedOn w:val="DefaultParagraphFont"/>
    <w:link w:val="BodyText3"/>
    <w:uiPriority w:val="99"/>
    <w:semiHidden/>
    <w:rsid w:val="00A83136"/>
    <w:rPr>
      <w:rFonts w:ascii="Trebuchet MS" w:hAnsi="Trebuchet MS"/>
      <w:sz w:val="16"/>
      <w:szCs w:val="16"/>
      <w:lang w:val="en-AU"/>
    </w:rPr>
  </w:style>
  <w:style w:type="paragraph" w:styleId="BodyTextFirstIndent">
    <w:name w:val="Body Text First Indent"/>
    <w:basedOn w:val="Normal"/>
    <w:link w:val="BodyTextFirstIndentChar"/>
    <w:uiPriority w:val="99"/>
    <w:semiHidden/>
    <w:rsid w:val="00AC6E16"/>
    <w:pPr>
      <w:ind w:firstLine="360"/>
    </w:pPr>
    <w:rPr>
      <w:b/>
    </w:rPr>
  </w:style>
  <w:style w:type="character" w:customStyle="1" w:styleId="BodyTextFirstIndentChar">
    <w:name w:val="Body Text First Indent Char"/>
    <w:basedOn w:val="DefaultParagraphFont"/>
    <w:link w:val="BodyTextFirstIndent"/>
    <w:uiPriority w:val="99"/>
    <w:semiHidden/>
    <w:rsid w:val="00AC6E16"/>
    <w:rPr>
      <w:rFonts w:ascii="Trebuchet MS" w:hAnsi="Trebuchet MS"/>
      <w:b/>
      <w:sz w:val="19"/>
      <w:lang w:val="en-AU" w:eastAsia="ko-KR"/>
    </w:rPr>
  </w:style>
  <w:style w:type="paragraph" w:styleId="BodyTextFirstIndent2">
    <w:name w:val="Body Text First Indent 2"/>
    <w:basedOn w:val="Normal"/>
    <w:link w:val="BodyTextFirstIndent2Char"/>
    <w:uiPriority w:val="99"/>
    <w:semiHidden/>
    <w:rsid w:val="00AC6E16"/>
    <w:pPr>
      <w:ind w:left="360" w:firstLine="360"/>
    </w:pPr>
  </w:style>
  <w:style w:type="character" w:customStyle="1" w:styleId="BodyTextFirstIndent2Char">
    <w:name w:val="Body Text First Indent 2 Char"/>
    <w:basedOn w:val="DefaultParagraphFont"/>
    <w:link w:val="BodyTextFirstIndent2"/>
    <w:uiPriority w:val="99"/>
    <w:semiHidden/>
    <w:rsid w:val="00AC6E16"/>
    <w:rPr>
      <w:rFonts w:ascii="Trebuchet MS" w:hAnsi="Trebuchet MS"/>
      <w:sz w:val="19"/>
      <w:lang w:val="en-AU" w:eastAsia="en-AU"/>
    </w:rPr>
  </w:style>
  <w:style w:type="paragraph" w:styleId="BodyTextIndent2">
    <w:name w:val="Body Text Indent 2"/>
    <w:basedOn w:val="Normal"/>
    <w:link w:val="BodyTextIndent2Char"/>
    <w:uiPriority w:val="99"/>
    <w:semiHidden/>
    <w:rsid w:val="00A83136"/>
    <w:pPr>
      <w:spacing w:after="120" w:line="480" w:lineRule="auto"/>
      <w:ind w:left="283"/>
    </w:pPr>
  </w:style>
  <w:style w:type="character" w:customStyle="1" w:styleId="BodyTextIndent2Char">
    <w:name w:val="Body Text Indent 2 Char"/>
    <w:basedOn w:val="DefaultParagraphFont"/>
    <w:link w:val="BodyTextIndent2"/>
    <w:uiPriority w:val="99"/>
    <w:semiHidden/>
    <w:rsid w:val="00A83136"/>
    <w:rPr>
      <w:rFonts w:ascii="Trebuchet MS" w:hAnsi="Trebuchet MS"/>
      <w:sz w:val="19"/>
      <w:lang w:val="en-AU"/>
    </w:rPr>
  </w:style>
  <w:style w:type="paragraph" w:styleId="BodyTextIndent3">
    <w:name w:val="Body Text Indent 3"/>
    <w:basedOn w:val="Normal"/>
    <w:link w:val="BodyTextIndent3Char"/>
    <w:uiPriority w:val="99"/>
    <w:semiHidden/>
    <w:rsid w:val="00A831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83136"/>
    <w:rPr>
      <w:rFonts w:ascii="Trebuchet MS" w:hAnsi="Trebuchet MS"/>
      <w:sz w:val="16"/>
      <w:szCs w:val="16"/>
      <w:lang w:val="en-AU"/>
    </w:rPr>
  </w:style>
  <w:style w:type="paragraph" w:styleId="Closing">
    <w:name w:val="Closing"/>
    <w:basedOn w:val="Normal"/>
    <w:link w:val="ClosingChar"/>
    <w:uiPriority w:val="99"/>
    <w:semiHidden/>
    <w:rsid w:val="00A83136"/>
    <w:pPr>
      <w:spacing w:before="0" w:line="240" w:lineRule="auto"/>
      <w:ind w:left="4252"/>
    </w:pPr>
  </w:style>
  <w:style w:type="character" w:customStyle="1" w:styleId="ClosingChar">
    <w:name w:val="Closing Char"/>
    <w:basedOn w:val="DefaultParagraphFont"/>
    <w:link w:val="Closing"/>
    <w:uiPriority w:val="99"/>
    <w:semiHidden/>
    <w:rsid w:val="00A83136"/>
    <w:rPr>
      <w:rFonts w:ascii="Trebuchet MS" w:hAnsi="Trebuchet MS"/>
      <w:sz w:val="19"/>
      <w:lang w:val="en-AU"/>
    </w:rPr>
  </w:style>
  <w:style w:type="paragraph" w:styleId="Date">
    <w:name w:val="Date"/>
    <w:basedOn w:val="Normal"/>
    <w:next w:val="Normal"/>
    <w:link w:val="DateChar"/>
    <w:uiPriority w:val="99"/>
    <w:semiHidden/>
    <w:rsid w:val="00A83136"/>
  </w:style>
  <w:style w:type="character" w:customStyle="1" w:styleId="DateChar">
    <w:name w:val="Date Char"/>
    <w:basedOn w:val="DefaultParagraphFont"/>
    <w:link w:val="Date"/>
    <w:uiPriority w:val="99"/>
    <w:semiHidden/>
    <w:rsid w:val="00A83136"/>
    <w:rPr>
      <w:rFonts w:ascii="Trebuchet MS" w:hAnsi="Trebuchet MS"/>
      <w:sz w:val="19"/>
      <w:lang w:val="en-AU"/>
    </w:rPr>
  </w:style>
  <w:style w:type="paragraph" w:styleId="DocumentMap">
    <w:name w:val="Document Map"/>
    <w:basedOn w:val="Normal"/>
    <w:link w:val="DocumentMapChar"/>
    <w:uiPriority w:val="99"/>
    <w:semiHidden/>
    <w:rsid w:val="00A83136"/>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83136"/>
    <w:rPr>
      <w:rFonts w:ascii="Tahoma" w:hAnsi="Tahoma" w:cs="Tahoma"/>
      <w:sz w:val="16"/>
      <w:szCs w:val="16"/>
      <w:lang w:val="en-AU"/>
    </w:rPr>
  </w:style>
  <w:style w:type="paragraph" w:styleId="E-mailSignature">
    <w:name w:val="E-mail Signature"/>
    <w:basedOn w:val="Normal"/>
    <w:link w:val="E-mailSignatureChar"/>
    <w:uiPriority w:val="99"/>
    <w:semiHidden/>
    <w:rsid w:val="00A83136"/>
    <w:pPr>
      <w:spacing w:before="0" w:line="240" w:lineRule="auto"/>
    </w:pPr>
  </w:style>
  <w:style w:type="character" w:customStyle="1" w:styleId="E-mailSignatureChar">
    <w:name w:val="E-mail Signature Char"/>
    <w:basedOn w:val="DefaultParagraphFont"/>
    <w:link w:val="E-mailSignature"/>
    <w:uiPriority w:val="99"/>
    <w:semiHidden/>
    <w:rsid w:val="00A83136"/>
    <w:rPr>
      <w:rFonts w:ascii="Trebuchet MS" w:hAnsi="Trebuchet MS"/>
      <w:sz w:val="19"/>
      <w:lang w:val="en-AU"/>
    </w:rPr>
  </w:style>
  <w:style w:type="paragraph" w:styleId="EndnoteText">
    <w:name w:val="endnote text"/>
    <w:basedOn w:val="Normal"/>
    <w:link w:val="EndnoteTextChar"/>
    <w:uiPriority w:val="99"/>
    <w:semiHidden/>
    <w:rsid w:val="00A83136"/>
    <w:pPr>
      <w:spacing w:before="0" w:line="240" w:lineRule="auto"/>
    </w:pPr>
    <w:rPr>
      <w:sz w:val="20"/>
    </w:rPr>
  </w:style>
  <w:style w:type="character" w:customStyle="1" w:styleId="EndnoteTextChar">
    <w:name w:val="Endnote Text Char"/>
    <w:basedOn w:val="DefaultParagraphFont"/>
    <w:link w:val="EndnoteText"/>
    <w:uiPriority w:val="99"/>
    <w:semiHidden/>
    <w:rsid w:val="00A83136"/>
    <w:rPr>
      <w:rFonts w:ascii="Trebuchet MS" w:hAnsi="Trebuchet MS"/>
      <w:lang w:val="en-AU"/>
    </w:rPr>
  </w:style>
  <w:style w:type="paragraph" w:styleId="EnvelopeAddress">
    <w:name w:val="envelope address"/>
    <w:basedOn w:val="Normal"/>
    <w:uiPriority w:val="99"/>
    <w:semiHidden/>
    <w:rsid w:val="00A83136"/>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83136"/>
    <w:pPr>
      <w:spacing w:before="0" w:line="240" w:lineRule="auto"/>
    </w:pPr>
    <w:rPr>
      <w:rFonts w:asciiTheme="majorHAnsi" w:eastAsiaTheme="majorEastAsia" w:hAnsiTheme="majorHAnsi" w:cstheme="majorBidi"/>
      <w:sz w:val="20"/>
    </w:rPr>
  </w:style>
  <w:style w:type="character" w:customStyle="1" w:styleId="Heading9Char">
    <w:name w:val="Heading 9 Char"/>
    <w:basedOn w:val="DefaultParagraphFont"/>
    <w:link w:val="Heading9"/>
    <w:uiPriority w:val="9"/>
    <w:semiHidden/>
    <w:rsid w:val="00A83136"/>
    <w:rPr>
      <w:rFonts w:asciiTheme="majorHAnsi" w:eastAsiaTheme="majorEastAsia" w:hAnsiTheme="majorHAnsi" w:cstheme="majorBidi"/>
      <w:i/>
      <w:iCs/>
      <w:color w:val="404040" w:themeColor="text1" w:themeTint="BF"/>
      <w:lang w:val="en-AU"/>
    </w:rPr>
  </w:style>
  <w:style w:type="paragraph" w:styleId="HTMLAddress">
    <w:name w:val="HTML Address"/>
    <w:basedOn w:val="Normal"/>
    <w:link w:val="HTMLAddressChar"/>
    <w:uiPriority w:val="99"/>
    <w:semiHidden/>
    <w:rsid w:val="00A83136"/>
    <w:pPr>
      <w:spacing w:before="0" w:line="240" w:lineRule="auto"/>
    </w:pPr>
    <w:rPr>
      <w:i/>
      <w:iCs/>
    </w:rPr>
  </w:style>
  <w:style w:type="character" w:customStyle="1" w:styleId="HTMLAddressChar">
    <w:name w:val="HTML Address Char"/>
    <w:basedOn w:val="DefaultParagraphFont"/>
    <w:link w:val="HTMLAddress"/>
    <w:uiPriority w:val="99"/>
    <w:semiHidden/>
    <w:rsid w:val="00A83136"/>
    <w:rPr>
      <w:rFonts w:ascii="Trebuchet MS" w:hAnsi="Trebuchet MS"/>
      <w:i/>
      <w:iCs/>
      <w:sz w:val="19"/>
      <w:lang w:val="en-AU"/>
    </w:rPr>
  </w:style>
  <w:style w:type="paragraph" w:styleId="HTMLPreformatted">
    <w:name w:val="HTML Preformatted"/>
    <w:basedOn w:val="Normal"/>
    <w:link w:val="HTMLPreformattedChar"/>
    <w:uiPriority w:val="99"/>
    <w:semiHidden/>
    <w:rsid w:val="00A83136"/>
    <w:pPr>
      <w:spacing w:before="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A83136"/>
    <w:rPr>
      <w:rFonts w:ascii="Consolas" w:hAnsi="Consolas" w:cs="Consolas"/>
      <w:lang w:val="en-AU"/>
    </w:rPr>
  </w:style>
  <w:style w:type="paragraph" w:styleId="Index1">
    <w:name w:val="index 1"/>
    <w:basedOn w:val="Normal"/>
    <w:next w:val="Normal"/>
    <w:autoRedefine/>
    <w:uiPriority w:val="99"/>
    <w:semiHidden/>
    <w:rsid w:val="00A83136"/>
    <w:pPr>
      <w:spacing w:before="0" w:line="240" w:lineRule="auto"/>
      <w:ind w:left="190" w:hanging="190"/>
    </w:pPr>
  </w:style>
  <w:style w:type="paragraph" w:styleId="Index2">
    <w:name w:val="index 2"/>
    <w:basedOn w:val="Normal"/>
    <w:next w:val="Normal"/>
    <w:autoRedefine/>
    <w:uiPriority w:val="99"/>
    <w:semiHidden/>
    <w:rsid w:val="00A83136"/>
    <w:pPr>
      <w:spacing w:before="0" w:line="240" w:lineRule="auto"/>
      <w:ind w:left="380" w:hanging="190"/>
    </w:pPr>
  </w:style>
  <w:style w:type="paragraph" w:styleId="Index3">
    <w:name w:val="index 3"/>
    <w:basedOn w:val="Normal"/>
    <w:next w:val="Normal"/>
    <w:autoRedefine/>
    <w:uiPriority w:val="99"/>
    <w:semiHidden/>
    <w:rsid w:val="00A83136"/>
    <w:pPr>
      <w:spacing w:before="0" w:line="240" w:lineRule="auto"/>
      <w:ind w:left="570" w:hanging="190"/>
    </w:pPr>
  </w:style>
  <w:style w:type="paragraph" w:styleId="Index4">
    <w:name w:val="index 4"/>
    <w:basedOn w:val="Normal"/>
    <w:next w:val="Normal"/>
    <w:autoRedefine/>
    <w:uiPriority w:val="99"/>
    <w:semiHidden/>
    <w:rsid w:val="00A83136"/>
    <w:pPr>
      <w:spacing w:before="0" w:line="240" w:lineRule="auto"/>
      <w:ind w:left="760" w:hanging="190"/>
    </w:pPr>
  </w:style>
  <w:style w:type="paragraph" w:styleId="Index5">
    <w:name w:val="index 5"/>
    <w:basedOn w:val="Normal"/>
    <w:next w:val="Normal"/>
    <w:autoRedefine/>
    <w:uiPriority w:val="99"/>
    <w:semiHidden/>
    <w:rsid w:val="00A83136"/>
    <w:pPr>
      <w:spacing w:before="0" w:line="240" w:lineRule="auto"/>
      <w:ind w:left="950" w:hanging="190"/>
    </w:pPr>
  </w:style>
  <w:style w:type="paragraph" w:styleId="Index6">
    <w:name w:val="index 6"/>
    <w:basedOn w:val="Normal"/>
    <w:next w:val="Normal"/>
    <w:autoRedefine/>
    <w:uiPriority w:val="99"/>
    <w:semiHidden/>
    <w:rsid w:val="00A83136"/>
    <w:pPr>
      <w:spacing w:before="0" w:line="240" w:lineRule="auto"/>
      <w:ind w:left="1140" w:hanging="190"/>
    </w:pPr>
  </w:style>
  <w:style w:type="paragraph" w:styleId="Index7">
    <w:name w:val="index 7"/>
    <w:basedOn w:val="Normal"/>
    <w:next w:val="Normal"/>
    <w:autoRedefine/>
    <w:uiPriority w:val="99"/>
    <w:semiHidden/>
    <w:rsid w:val="00A83136"/>
    <w:pPr>
      <w:spacing w:before="0" w:line="240" w:lineRule="auto"/>
      <w:ind w:left="1330" w:hanging="190"/>
    </w:pPr>
  </w:style>
  <w:style w:type="paragraph" w:styleId="Index8">
    <w:name w:val="index 8"/>
    <w:basedOn w:val="Normal"/>
    <w:next w:val="Normal"/>
    <w:autoRedefine/>
    <w:uiPriority w:val="99"/>
    <w:semiHidden/>
    <w:rsid w:val="00A83136"/>
    <w:pPr>
      <w:spacing w:before="0" w:line="240" w:lineRule="auto"/>
      <w:ind w:left="1520" w:hanging="190"/>
    </w:pPr>
  </w:style>
  <w:style w:type="paragraph" w:styleId="Index9">
    <w:name w:val="index 9"/>
    <w:basedOn w:val="Normal"/>
    <w:next w:val="Normal"/>
    <w:autoRedefine/>
    <w:uiPriority w:val="99"/>
    <w:semiHidden/>
    <w:rsid w:val="00A83136"/>
    <w:pPr>
      <w:spacing w:before="0" w:line="240" w:lineRule="auto"/>
      <w:ind w:left="1710" w:hanging="190"/>
    </w:pPr>
  </w:style>
  <w:style w:type="paragraph" w:styleId="IndexHeading">
    <w:name w:val="index heading"/>
    <w:basedOn w:val="Normal"/>
    <w:next w:val="Index1"/>
    <w:uiPriority w:val="99"/>
    <w:semiHidden/>
    <w:rsid w:val="00A83136"/>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A8313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83136"/>
    <w:rPr>
      <w:rFonts w:ascii="Trebuchet MS" w:hAnsi="Trebuchet MS"/>
      <w:b/>
      <w:bCs/>
      <w:i/>
      <w:iCs/>
      <w:color w:val="4F81BD" w:themeColor="accent1"/>
      <w:sz w:val="19"/>
      <w:lang w:val="en-AU"/>
    </w:rPr>
  </w:style>
  <w:style w:type="paragraph" w:styleId="List">
    <w:name w:val="List"/>
    <w:basedOn w:val="Normal"/>
    <w:uiPriority w:val="99"/>
    <w:semiHidden/>
    <w:rsid w:val="00A83136"/>
    <w:pPr>
      <w:ind w:left="283" w:hanging="283"/>
      <w:contextualSpacing/>
    </w:pPr>
  </w:style>
  <w:style w:type="paragraph" w:styleId="List2">
    <w:name w:val="List 2"/>
    <w:basedOn w:val="Normal"/>
    <w:uiPriority w:val="99"/>
    <w:semiHidden/>
    <w:rsid w:val="00A83136"/>
    <w:pPr>
      <w:ind w:left="566" w:hanging="283"/>
      <w:contextualSpacing/>
    </w:pPr>
  </w:style>
  <w:style w:type="paragraph" w:styleId="List3">
    <w:name w:val="List 3"/>
    <w:basedOn w:val="Normal"/>
    <w:uiPriority w:val="99"/>
    <w:semiHidden/>
    <w:rsid w:val="00A83136"/>
    <w:pPr>
      <w:ind w:left="849" w:hanging="283"/>
      <w:contextualSpacing/>
    </w:pPr>
  </w:style>
  <w:style w:type="paragraph" w:styleId="List4">
    <w:name w:val="List 4"/>
    <w:basedOn w:val="Normal"/>
    <w:uiPriority w:val="99"/>
    <w:semiHidden/>
    <w:rsid w:val="00A83136"/>
    <w:pPr>
      <w:ind w:left="1132" w:hanging="283"/>
      <w:contextualSpacing/>
    </w:pPr>
  </w:style>
  <w:style w:type="paragraph" w:styleId="List5">
    <w:name w:val="List 5"/>
    <w:basedOn w:val="Normal"/>
    <w:uiPriority w:val="99"/>
    <w:semiHidden/>
    <w:rsid w:val="00A83136"/>
    <w:pPr>
      <w:ind w:left="1415" w:hanging="283"/>
      <w:contextualSpacing/>
    </w:pPr>
  </w:style>
  <w:style w:type="paragraph" w:styleId="ListBullet2">
    <w:name w:val="List Bullet 2"/>
    <w:basedOn w:val="Normal"/>
    <w:uiPriority w:val="99"/>
    <w:semiHidden/>
    <w:rsid w:val="00A83136"/>
    <w:pPr>
      <w:numPr>
        <w:numId w:val="11"/>
      </w:numPr>
      <w:contextualSpacing/>
    </w:pPr>
  </w:style>
  <w:style w:type="paragraph" w:styleId="ListBullet3">
    <w:name w:val="List Bullet 3"/>
    <w:basedOn w:val="Normal"/>
    <w:uiPriority w:val="99"/>
    <w:semiHidden/>
    <w:rsid w:val="00A83136"/>
    <w:pPr>
      <w:numPr>
        <w:numId w:val="12"/>
      </w:numPr>
      <w:contextualSpacing/>
    </w:pPr>
  </w:style>
  <w:style w:type="paragraph" w:styleId="ListBullet4">
    <w:name w:val="List Bullet 4"/>
    <w:basedOn w:val="Normal"/>
    <w:uiPriority w:val="99"/>
    <w:semiHidden/>
    <w:rsid w:val="00A83136"/>
    <w:pPr>
      <w:numPr>
        <w:numId w:val="13"/>
      </w:numPr>
      <w:contextualSpacing/>
    </w:pPr>
  </w:style>
  <w:style w:type="paragraph" w:styleId="ListBullet5">
    <w:name w:val="List Bullet 5"/>
    <w:basedOn w:val="Normal"/>
    <w:uiPriority w:val="99"/>
    <w:semiHidden/>
    <w:rsid w:val="00A83136"/>
    <w:pPr>
      <w:numPr>
        <w:numId w:val="14"/>
      </w:numPr>
      <w:contextualSpacing/>
    </w:pPr>
  </w:style>
  <w:style w:type="paragraph" w:styleId="ListContinue">
    <w:name w:val="List Continue"/>
    <w:basedOn w:val="Normal"/>
    <w:uiPriority w:val="99"/>
    <w:semiHidden/>
    <w:rsid w:val="00A83136"/>
    <w:pPr>
      <w:spacing w:after="120"/>
      <w:ind w:left="283"/>
      <w:contextualSpacing/>
    </w:pPr>
  </w:style>
  <w:style w:type="paragraph" w:styleId="ListContinue2">
    <w:name w:val="List Continue 2"/>
    <w:basedOn w:val="Normal"/>
    <w:uiPriority w:val="99"/>
    <w:semiHidden/>
    <w:rsid w:val="00A83136"/>
    <w:pPr>
      <w:spacing w:after="120"/>
      <w:ind w:left="566"/>
      <w:contextualSpacing/>
    </w:pPr>
  </w:style>
  <w:style w:type="paragraph" w:styleId="ListContinue3">
    <w:name w:val="List Continue 3"/>
    <w:basedOn w:val="Normal"/>
    <w:uiPriority w:val="99"/>
    <w:semiHidden/>
    <w:rsid w:val="00A83136"/>
    <w:pPr>
      <w:spacing w:after="120"/>
      <w:ind w:left="849"/>
      <w:contextualSpacing/>
    </w:pPr>
  </w:style>
  <w:style w:type="paragraph" w:styleId="ListContinue4">
    <w:name w:val="List Continue 4"/>
    <w:basedOn w:val="Normal"/>
    <w:uiPriority w:val="99"/>
    <w:semiHidden/>
    <w:rsid w:val="00A83136"/>
    <w:pPr>
      <w:spacing w:after="120"/>
      <w:ind w:left="1132"/>
      <w:contextualSpacing/>
    </w:pPr>
  </w:style>
  <w:style w:type="paragraph" w:styleId="ListContinue5">
    <w:name w:val="List Continue 5"/>
    <w:basedOn w:val="Normal"/>
    <w:uiPriority w:val="99"/>
    <w:semiHidden/>
    <w:rsid w:val="00A83136"/>
    <w:pPr>
      <w:spacing w:after="120"/>
      <w:ind w:left="1415"/>
      <w:contextualSpacing/>
    </w:pPr>
  </w:style>
  <w:style w:type="paragraph" w:styleId="ListNumber">
    <w:name w:val="List Number"/>
    <w:basedOn w:val="Normal"/>
    <w:uiPriority w:val="99"/>
    <w:semiHidden/>
    <w:rsid w:val="00A83136"/>
    <w:pPr>
      <w:numPr>
        <w:numId w:val="15"/>
      </w:numPr>
      <w:contextualSpacing/>
    </w:pPr>
  </w:style>
  <w:style w:type="paragraph" w:styleId="ListNumber2">
    <w:name w:val="List Number 2"/>
    <w:basedOn w:val="Normal"/>
    <w:uiPriority w:val="99"/>
    <w:semiHidden/>
    <w:rsid w:val="00A83136"/>
    <w:pPr>
      <w:numPr>
        <w:numId w:val="16"/>
      </w:numPr>
      <w:contextualSpacing/>
    </w:pPr>
  </w:style>
  <w:style w:type="paragraph" w:styleId="ListNumber3">
    <w:name w:val="List Number 3"/>
    <w:basedOn w:val="Normal"/>
    <w:uiPriority w:val="99"/>
    <w:semiHidden/>
    <w:rsid w:val="00A83136"/>
    <w:pPr>
      <w:numPr>
        <w:numId w:val="17"/>
      </w:numPr>
      <w:contextualSpacing/>
    </w:pPr>
  </w:style>
  <w:style w:type="paragraph" w:styleId="ListNumber4">
    <w:name w:val="List Number 4"/>
    <w:basedOn w:val="Normal"/>
    <w:uiPriority w:val="99"/>
    <w:semiHidden/>
    <w:rsid w:val="00A83136"/>
    <w:pPr>
      <w:numPr>
        <w:numId w:val="18"/>
      </w:numPr>
      <w:contextualSpacing/>
    </w:pPr>
  </w:style>
  <w:style w:type="paragraph" w:styleId="ListNumber5">
    <w:name w:val="List Number 5"/>
    <w:basedOn w:val="Normal"/>
    <w:uiPriority w:val="99"/>
    <w:semiHidden/>
    <w:rsid w:val="00A83136"/>
    <w:pPr>
      <w:numPr>
        <w:numId w:val="19"/>
      </w:numPr>
      <w:contextualSpacing/>
    </w:pPr>
  </w:style>
  <w:style w:type="paragraph" w:styleId="MacroText">
    <w:name w:val="macro"/>
    <w:link w:val="MacroTextChar"/>
    <w:uiPriority w:val="99"/>
    <w:semiHidden/>
    <w:rsid w:val="00A83136"/>
    <w:pPr>
      <w:tabs>
        <w:tab w:val="left" w:pos="480"/>
        <w:tab w:val="left" w:pos="960"/>
        <w:tab w:val="left" w:pos="1440"/>
        <w:tab w:val="left" w:pos="1920"/>
        <w:tab w:val="left" w:pos="2400"/>
        <w:tab w:val="left" w:pos="2880"/>
        <w:tab w:val="left" w:pos="3360"/>
        <w:tab w:val="left" w:pos="3840"/>
        <w:tab w:val="left" w:pos="4320"/>
      </w:tabs>
      <w:spacing w:before="160" w:line="260" w:lineRule="exact"/>
    </w:pPr>
    <w:rPr>
      <w:rFonts w:ascii="Consolas" w:hAnsi="Consolas" w:cs="Consolas"/>
      <w:lang w:val="en-AU"/>
    </w:rPr>
  </w:style>
  <w:style w:type="character" w:customStyle="1" w:styleId="MacroTextChar">
    <w:name w:val="Macro Text Char"/>
    <w:basedOn w:val="DefaultParagraphFont"/>
    <w:link w:val="MacroText"/>
    <w:uiPriority w:val="99"/>
    <w:semiHidden/>
    <w:rsid w:val="00A83136"/>
    <w:rPr>
      <w:rFonts w:ascii="Consolas" w:hAnsi="Consolas" w:cs="Consolas"/>
      <w:lang w:val="en-AU"/>
    </w:rPr>
  </w:style>
  <w:style w:type="paragraph" w:styleId="MessageHeader">
    <w:name w:val="Message Header"/>
    <w:basedOn w:val="Normal"/>
    <w:link w:val="MessageHeaderChar"/>
    <w:uiPriority w:val="99"/>
    <w:semiHidden/>
    <w:rsid w:val="00A83136"/>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3136"/>
    <w:rPr>
      <w:rFonts w:asciiTheme="majorHAnsi" w:eastAsiaTheme="majorEastAsia" w:hAnsiTheme="majorHAnsi" w:cstheme="majorBidi"/>
      <w:sz w:val="24"/>
      <w:szCs w:val="24"/>
      <w:shd w:val="pct20" w:color="auto" w:fill="auto"/>
      <w:lang w:val="en-AU"/>
    </w:rPr>
  </w:style>
  <w:style w:type="paragraph" w:styleId="NoSpacing">
    <w:name w:val="No Spacing"/>
    <w:uiPriority w:val="1"/>
    <w:semiHidden/>
    <w:qFormat/>
    <w:rsid w:val="00A83136"/>
    <w:rPr>
      <w:rFonts w:ascii="Trebuchet MS" w:hAnsi="Trebuchet MS"/>
      <w:sz w:val="19"/>
      <w:lang w:val="en-AU"/>
    </w:rPr>
  </w:style>
  <w:style w:type="paragraph" w:styleId="NormalIndent">
    <w:name w:val="Normal Indent"/>
    <w:basedOn w:val="Normal"/>
    <w:uiPriority w:val="99"/>
    <w:semiHidden/>
    <w:rsid w:val="00A83136"/>
    <w:pPr>
      <w:ind w:left="720"/>
    </w:pPr>
  </w:style>
  <w:style w:type="paragraph" w:styleId="NoteHeading">
    <w:name w:val="Note Heading"/>
    <w:basedOn w:val="Normal"/>
    <w:next w:val="Normal"/>
    <w:link w:val="NoteHeadingChar"/>
    <w:uiPriority w:val="99"/>
    <w:semiHidden/>
    <w:rsid w:val="00A83136"/>
    <w:pPr>
      <w:spacing w:before="0" w:line="240" w:lineRule="auto"/>
    </w:pPr>
  </w:style>
  <w:style w:type="character" w:customStyle="1" w:styleId="NoteHeadingChar">
    <w:name w:val="Note Heading Char"/>
    <w:basedOn w:val="DefaultParagraphFont"/>
    <w:link w:val="NoteHeading"/>
    <w:uiPriority w:val="99"/>
    <w:semiHidden/>
    <w:rsid w:val="00A83136"/>
    <w:rPr>
      <w:rFonts w:ascii="Trebuchet MS" w:hAnsi="Trebuchet MS"/>
      <w:sz w:val="19"/>
      <w:lang w:val="en-AU"/>
    </w:rPr>
  </w:style>
  <w:style w:type="paragraph" w:styleId="Salutation">
    <w:name w:val="Salutation"/>
    <w:basedOn w:val="Normal"/>
    <w:next w:val="Normal"/>
    <w:link w:val="SalutationChar"/>
    <w:uiPriority w:val="99"/>
    <w:semiHidden/>
    <w:rsid w:val="00A83136"/>
  </w:style>
  <w:style w:type="character" w:customStyle="1" w:styleId="SalutationChar">
    <w:name w:val="Salutation Char"/>
    <w:basedOn w:val="DefaultParagraphFont"/>
    <w:link w:val="Salutation"/>
    <w:uiPriority w:val="99"/>
    <w:semiHidden/>
    <w:rsid w:val="00A83136"/>
    <w:rPr>
      <w:rFonts w:ascii="Trebuchet MS" w:hAnsi="Trebuchet MS"/>
      <w:sz w:val="19"/>
      <w:lang w:val="en-AU"/>
    </w:rPr>
  </w:style>
  <w:style w:type="paragraph" w:styleId="Signature">
    <w:name w:val="Signature"/>
    <w:basedOn w:val="Normal"/>
    <w:link w:val="SignatureChar"/>
    <w:uiPriority w:val="99"/>
    <w:semiHidden/>
    <w:rsid w:val="00A83136"/>
    <w:pPr>
      <w:spacing w:before="0" w:line="240" w:lineRule="auto"/>
      <w:ind w:left="4252"/>
    </w:pPr>
  </w:style>
  <w:style w:type="character" w:customStyle="1" w:styleId="SignatureChar">
    <w:name w:val="Signature Char"/>
    <w:basedOn w:val="DefaultParagraphFont"/>
    <w:link w:val="Signature"/>
    <w:uiPriority w:val="99"/>
    <w:semiHidden/>
    <w:rsid w:val="00A83136"/>
    <w:rPr>
      <w:rFonts w:ascii="Trebuchet MS" w:hAnsi="Trebuchet MS"/>
      <w:sz w:val="19"/>
      <w:lang w:val="en-AU"/>
    </w:rPr>
  </w:style>
  <w:style w:type="paragraph" w:styleId="Subtitle">
    <w:name w:val="Subtitle"/>
    <w:basedOn w:val="Normal"/>
    <w:next w:val="Normal"/>
    <w:link w:val="SubtitleChar"/>
    <w:uiPriority w:val="11"/>
    <w:qFormat/>
    <w:rsid w:val="00A831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3136"/>
    <w:rPr>
      <w:rFonts w:asciiTheme="majorHAnsi" w:eastAsiaTheme="majorEastAsia" w:hAnsiTheme="majorHAnsi" w:cstheme="majorBidi"/>
      <w:i/>
      <w:iCs/>
      <w:color w:val="4F81BD" w:themeColor="accent1"/>
      <w:spacing w:val="15"/>
      <w:sz w:val="24"/>
      <w:szCs w:val="24"/>
      <w:lang w:val="en-AU"/>
    </w:rPr>
  </w:style>
  <w:style w:type="paragraph" w:styleId="TableofAuthorities">
    <w:name w:val="table of authorities"/>
    <w:basedOn w:val="Normal"/>
    <w:next w:val="Normal"/>
    <w:uiPriority w:val="99"/>
    <w:semiHidden/>
    <w:rsid w:val="00A83136"/>
    <w:pPr>
      <w:ind w:left="190" w:hanging="190"/>
    </w:pPr>
  </w:style>
  <w:style w:type="paragraph" w:styleId="TOAHeading">
    <w:name w:val="toa heading"/>
    <w:basedOn w:val="Normal"/>
    <w:next w:val="Normal"/>
    <w:uiPriority w:val="99"/>
    <w:semiHidden/>
    <w:rsid w:val="00A83136"/>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A83136"/>
    <w:pPr>
      <w:spacing w:after="100"/>
      <w:ind w:left="760"/>
    </w:pPr>
  </w:style>
  <w:style w:type="paragraph" w:styleId="TOC6">
    <w:name w:val="toc 6"/>
    <w:basedOn w:val="Normal"/>
    <w:next w:val="Normal"/>
    <w:autoRedefine/>
    <w:uiPriority w:val="39"/>
    <w:semiHidden/>
    <w:unhideWhenUsed/>
    <w:rsid w:val="00A83136"/>
    <w:pPr>
      <w:spacing w:after="100"/>
      <w:ind w:left="950"/>
    </w:pPr>
  </w:style>
  <w:style w:type="paragraph" w:styleId="TOC7">
    <w:name w:val="toc 7"/>
    <w:basedOn w:val="Normal"/>
    <w:next w:val="Normal"/>
    <w:autoRedefine/>
    <w:uiPriority w:val="39"/>
    <w:semiHidden/>
    <w:unhideWhenUsed/>
    <w:rsid w:val="00A83136"/>
    <w:pPr>
      <w:spacing w:after="100"/>
      <w:ind w:left="1140"/>
    </w:pPr>
  </w:style>
  <w:style w:type="paragraph" w:styleId="TOC8">
    <w:name w:val="toc 8"/>
    <w:basedOn w:val="Normal"/>
    <w:next w:val="Normal"/>
    <w:autoRedefine/>
    <w:uiPriority w:val="39"/>
    <w:semiHidden/>
    <w:unhideWhenUsed/>
    <w:rsid w:val="00A83136"/>
    <w:pPr>
      <w:spacing w:after="100"/>
      <w:ind w:left="1330"/>
    </w:pPr>
  </w:style>
  <w:style w:type="paragraph" w:styleId="TOC9">
    <w:name w:val="toc 9"/>
    <w:basedOn w:val="Normal"/>
    <w:next w:val="Normal"/>
    <w:autoRedefine/>
    <w:uiPriority w:val="39"/>
    <w:semiHidden/>
    <w:unhideWhenUsed/>
    <w:rsid w:val="00A83136"/>
    <w:pPr>
      <w:spacing w:after="100"/>
      <w:ind w:left="1520"/>
    </w:pPr>
  </w:style>
  <w:style w:type="paragraph" w:styleId="TOCHeading">
    <w:name w:val="TOC Heading"/>
    <w:basedOn w:val="Heading1"/>
    <w:next w:val="Normal"/>
    <w:uiPriority w:val="39"/>
    <w:semiHidden/>
    <w:unhideWhenUsed/>
    <w:qFormat/>
    <w:rsid w:val="00A83136"/>
    <w:pPr>
      <w:keepLines/>
      <w:spacing w:before="480" w:after="0" w:line="260" w:lineRule="exact"/>
      <w:outlineLvl w:val="9"/>
    </w:pPr>
    <w:rPr>
      <w:rFonts w:asciiTheme="majorHAnsi" w:eastAsiaTheme="majorEastAsia" w:hAnsiTheme="majorHAnsi" w:cstheme="majorBidi"/>
      <w:b/>
      <w:bCs/>
      <w:color w:val="365F91" w:themeColor="accent1" w:themeShade="BF"/>
      <w:kern w:val="0"/>
      <w:sz w:val="28"/>
      <w:szCs w:val="28"/>
    </w:rPr>
  </w:style>
  <w:style w:type="paragraph" w:customStyle="1" w:styleId="NumberedList">
    <w:name w:val="NumberedList"/>
    <w:uiPriority w:val="1"/>
    <w:qFormat/>
    <w:rsid w:val="00ED0C08"/>
    <w:pPr>
      <w:numPr>
        <w:numId w:val="20"/>
      </w:numPr>
      <w:spacing w:before="80" w:line="300" w:lineRule="exact"/>
    </w:pPr>
    <w:rPr>
      <w:rFonts w:ascii="Trebuchet MS" w:hAnsi="Trebuchet MS"/>
      <w:sz w:val="19"/>
      <w:lang w:val="en-AU" w:eastAsia="en-AU"/>
    </w:rPr>
  </w:style>
  <w:style w:type="character" w:customStyle="1" w:styleId="QuoteChar">
    <w:name w:val="Quote Char"/>
    <w:basedOn w:val="DefaultParagraphFont"/>
    <w:link w:val="Quote"/>
    <w:rsid w:val="001B6395"/>
    <w:rPr>
      <w:rFonts w:ascii="Trebuchet MS" w:hAnsi="Trebuchet MS"/>
      <w:sz w:val="17"/>
      <w:lang w:val="en-AU"/>
    </w:rPr>
  </w:style>
  <w:style w:type="character" w:styleId="FootnoteReference">
    <w:name w:val="footnote reference"/>
    <w:basedOn w:val="DefaultParagraphFont"/>
    <w:uiPriority w:val="99"/>
    <w:rsid w:val="00867432"/>
    <w:rPr>
      <w:vertAlign w:val="superscript"/>
    </w:rPr>
  </w:style>
  <w:style w:type="character" w:styleId="EndnoteReference">
    <w:name w:val="endnote reference"/>
    <w:basedOn w:val="DefaultParagraphFont"/>
    <w:uiPriority w:val="99"/>
    <w:semiHidden/>
    <w:rsid w:val="00F13A31"/>
    <w:rPr>
      <w:vertAlign w:val="superscript"/>
    </w:rPr>
  </w:style>
  <w:style w:type="paragraph" w:styleId="ListParagraph">
    <w:name w:val="List Paragraph"/>
    <w:basedOn w:val="Normal"/>
    <w:uiPriority w:val="34"/>
    <w:qFormat/>
    <w:rsid w:val="00042BAB"/>
    <w:pPr>
      <w:spacing w:before="0" w:line="240" w:lineRule="auto"/>
      <w:ind w:left="720"/>
    </w:pPr>
    <w:rPr>
      <w:rFonts w:ascii="Calibri" w:eastAsiaTheme="minorHAnsi" w:hAnsi="Calibri"/>
      <w:sz w:val="22"/>
      <w:szCs w:val="22"/>
    </w:rPr>
  </w:style>
  <w:style w:type="character" w:customStyle="1" w:styleId="Dotpoint1Char">
    <w:name w:val="Dotpoint1 Char"/>
    <w:link w:val="Dotpoint1"/>
    <w:locked/>
    <w:rsid w:val="00E655E0"/>
    <w:rPr>
      <w:rFonts w:ascii="Trebuchet MS" w:hAnsi="Trebuchet MS"/>
      <w:color w:val="000000"/>
      <w:sz w:val="19"/>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4286">
      <w:bodyDiv w:val="1"/>
      <w:marLeft w:val="0"/>
      <w:marRight w:val="0"/>
      <w:marTop w:val="0"/>
      <w:marBottom w:val="0"/>
      <w:divBdr>
        <w:top w:val="none" w:sz="0" w:space="0" w:color="auto"/>
        <w:left w:val="none" w:sz="0" w:space="0" w:color="auto"/>
        <w:bottom w:val="none" w:sz="0" w:space="0" w:color="auto"/>
        <w:right w:val="none" w:sz="0" w:space="0" w:color="auto"/>
      </w:divBdr>
    </w:div>
    <w:div w:id="230501190">
      <w:bodyDiv w:val="1"/>
      <w:marLeft w:val="0"/>
      <w:marRight w:val="0"/>
      <w:marTop w:val="0"/>
      <w:marBottom w:val="0"/>
      <w:divBdr>
        <w:top w:val="none" w:sz="0" w:space="0" w:color="auto"/>
        <w:left w:val="none" w:sz="0" w:space="0" w:color="auto"/>
        <w:bottom w:val="none" w:sz="0" w:space="0" w:color="auto"/>
        <w:right w:val="none" w:sz="0" w:space="0" w:color="auto"/>
      </w:divBdr>
    </w:div>
    <w:div w:id="295571771">
      <w:bodyDiv w:val="1"/>
      <w:marLeft w:val="0"/>
      <w:marRight w:val="0"/>
      <w:marTop w:val="0"/>
      <w:marBottom w:val="0"/>
      <w:divBdr>
        <w:top w:val="none" w:sz="0" w:space="0" w:color="auto"/>
        <w:left w:val="none" w:sz="0" w:space="0" w:color="auto"/>
        <w:bottom w:val="none" w:sz="0" w:space="0" w:color="auto"/>
        <w:right w:val="none" w:sz="0" w:space="0" w:color="auto"/>
      </w:divBdr>
    </w:div>
    <w:div w:id="362828537">
      <w:bodyDiv w:val="1"/>
      <w:marLeft w:val="0"/>
      <w:marRight w:val="0"/>
      <w:marTop w:val="0"/>
      <w:marBottom w:val="0"/>
      <w:divBdr>
        <w:top w:val="none" w:sz="0" w:space="0" w:color="auto"/>
        <w:left w:val="none" w:sz="0" w:space="0" w:color="auto"/>
        <w:bottom w:val="none" w:sz="0" w:space="0" w:color="auto"/>
        <w:right w:val="none" w:sz="0" w:space="0" w:color="auto"/>
      </w:divBdr>
    </w:div>
    <w:div w:id="403571349">
      <w:bodyDiv w:val="1"/>
      <w:marLeft w:val="0"/>
      <w:marRight w:val="0"/>
      <w:marTop w:val="0"/>
      <w:marBottom w:val="0"/>
      <w:divBdr>
        <w:top w:val="none" w:sz="0" w:space="0" w:color="auto"/>
        <w:left w:val="none" w:sz="0" w:space="0" w:color="auto"/>
        <w:bottom w:val="none" w:sz="0" w:space="0" w:color="auto"/>
        <w:right w:val="none" w:sz="0" w:space="0" w:color="auto"/>
      </w:divBdr>
    </w:div>
    <w:div w:id="425081522">
      <w:bodyDiv w:val="1"/>
      <w:marLeft w:val="0"/>
      <w:marRight w:val="0"/>
      <w:marTop w:val="0"/>
      <w:marBottom w:val="0"/>
      <w:divBdr>
        <w:top w:val="none" w:sz="0" w:space="0" w:color="auto"/>
        <w:left w:val="none" w:sz="0" w:space="0" w:color="auto"/>
        <w:bottom w:val="none" w:sz="0" w:space="0" w:color="auto"/>
        <w:right w:val="none" w:sz="0" w:space="0" w:color="auto"/>
      </w:divBdr>
    </w:div>
    <w:div w:id="510215869">
      <w:bodyDiv w:val="1"/>
      <w:marLeft w:val="0"/>
      <w:marRight w:val="0"/>
      <w:marTop w:val="0"/>
      <w:marBottom w:val="0"/>
      <w:divBdr>
        <w:top w:val="none" w:sz="0" w:space="0" w:color="auto"/>
        <w:left w:val="none" w:sz="0" w:space="0" w:color="auto"/>
        <w:bottom w:val="none" w:sz="0" w:space="0" w:color="auto"/>
        <w:right w:val="none" w:sz="0" w:space="0" w:color="auto"/>
      </w:divBdr>
    </w:div>
    <w:div w:id="889464981">
      <w:bodyDiv w:val="1"/>
      <w:marLeft w:val="0"/>
      <w:marRight w:val="0"/>
      <w:marTop w:val="0"/>
      <w:marBottom w:val="0"/>
      <w:divBdr>
        <w:top w:val="none" w:sz="0" w:space="0" w:color="auto"/>
        <w:left w:val="none" w:sz="0" w:space="0" w:color="auto"/>
        <w:bottom w:val="none" w:sz="0" w:space="0" w:color="auto"/>
        <w:right w:val="none" w:sz="0" w:space="0" w:color="auto"/>
      </w:divBdr>
    </w:div>
    <w:div w:id="1046416380">
      <w:bodyDiv w:val="1"/>
      <w:marLeft w:val="0"/>
      <w:marRight w:val="0"/>
      <w:marTop w:val="0"/>
      <w:marBottom w:val="0"/>
      <w:divBdr>
        <w:top w:val="none" w:sz="0" w:space="0" w:color="auto"/>
        <w:left w:val="none" w:sz="0" w:space="0" w:color="auto"/>
        <w:bottom w:val="none" w:sz="0" w:space="0" w:color="auto"/>
        <w:right w:val="none" w:sz="0" w:space="0" w:color="auto"/>
      </w:divBdr>
    </w:div>
    <w:div w:id="1099526840">
      <w:bodyDiv w:val="1"/>
      <w:marLeft w:val="0"/>
      <w:marRight w:val="0"/>
      <w:marTop w:val="0"/>
      <w:marBottom w:val="0"/>
      <w:divBdr>
        <w:top w:val="none" w:sz="0" w:space="0" w:color="auto"/>
        <w:left w:val="none" w:sz="0" w:space="0" w:color="auto"/>
        <w:bottom w:val="none" w:sz="0" w:space="0" w:color="auto"/>
        <w:right w:val="none" w:sz="0" w:space="0" w:color="auto"/>
      </w:divBdr>
    </w:div>
    <w:div w:id="1387219593">
      <w:bodyDiv w:val="1"/>
      <w:marLeft w:val="0"/>
      <w:marRight w:val="0"/>
      <w:marTop w:val="0"/>
      <w:marBottom w:val="0"/>
      <w:divBdr>
        <w:top w:val="none" w:sz="0" w:space="0" w:color="auto"/>
        <w:left w:val="none" w:sz="0" w:space="0" w:color="auto"/>
        <w:bottom w:val="none" w:sz="0" w:space="0" w:color="auto"/>
        <w:right w:val="none" w:sz="0" w:space="0" w:color="auto"/>
      </w:divBdr>
    </w:div>
    <w:div w:id="1464739209">
      <w:bodyDiv w:val="1"/>
      <w:marLeft w:val="0"/>
      <w:marRight w:val="0"/>
      <w:marTop w:val="0"/>
      <w:marBottom w:val="0"/>
      <w:divBdr>
        <w:top w:val="none" w:sz="0" w:space="0" w:color="auto"/>
        <w:left w:val="none" w:sz="0" w:space="0" w:color="auto"/>
        <w:bottom w:val="none" w:sz="0" w:space="0" w:color="auto"/>
        <w:right w:val="none" w:sz="0" w:space="0" w:color="auto"/>
      </w:divBdr>
    </w:div>
    <w:div w:id="1805196369">
      <w:bodyDiv w:val="1"/>
      <w:marLeft w:val="0"/>
      <w:marRight w:val="0"/>
      <w:marTop w:val="0"/>
      <w:marBottom w:val="0"/>
      <w:divBdr>
        <w:top w:val="none" w:sz="0" w:space="0" w:color="auto"/>
        <w:left w:val="none" w:sz="0" w:space="0" w:color="auto"/>
        <w:bottom w:val="none" w:sz="0" w:space="0" w:color="auto"/>
        <w:right w:val="none" w:sz="0" w:space="0" w:color="auto"/>
      </w:divBdr>
    </w:div>
    <w:div w:id="1837453621">
      <w:bodyDiv w:val="1"/>
      <w:marLeft w:val="0"/>
      <w:marRight w:val="0"/>
      <w:marTop w:val="0"/>
      <w:marBottom w:val="0"/>
      <w:divBdr>
        <w:top w:val="none" w:sz="0" w:space="0" w:color="auto"/>
        <w:left w:val="none" w:sz="0" w:space="0" w:color="auto"/>
        <w:bottom w:val="none" w:sz="0" w:space="0" w:color="auto"/>
        <w:right w:val="none" w:sz="0" w:space="0" w:color="auto"/>
      </w:divBdr>
    </w:div>
    <w:div w:id="1999380859">
      <w:bodyDiv w:val="1"/>
      <w:marLeft w:val="0"/>
      <w:marRight w:val="0"/>
      <w:marTop w:val="0"/>
      <w:marBottom w:val="0"/>
      <w:divBdr>
        <w:top w:val="none" w:sz="0" w:space="0" w:color="auto"/>
        <w:left w:val="none" w:sz="0" w:space="0" w:color="auto"/>
        <w:bottom w:val="none" w:sz="0" w:space="0" w:color="auto"/>
        <w:right w:val="none" w:sz="0" w:space="0" w:color="auto"/>
      </w:divBdr>
    </w:div>
    <w:div w:id="213555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wmf" Type="http://schemas.openxmlformats.org/officeDocument/2006/relationships/image"/>
<Relationship Id="rId11" Target="http://www.voced.edu.au/" TargetMode="External" Type="http://schemas.openxmlformats.org/officeDocument/2006/relationships/hyperlink"/>
<Relationship Id="rId12" Target="footer1.xml" Type="http://schemas.openxmlformats.org/officeDocument/2006/relationships/footer"/>
<Relationship Id="rId13" Target="footer2.xml" Type="http://schemas.openxmlformats.org/officeDocument/2006/relationships/footer"/>
<Relationship Id="rId14" Target="media/image3.wmf" Type="http://schemas.openxmlformats.org/officeDocument/2006/relationships/image"/>
<Relationship Id="rId15" Target="mailto:ncver@ncver.edu.au" TargetMode="External" Type="http://schemas.openxmlformats.org/officeDocument/2006/relationships/hyperlink"/>
<Relationship Id="rId16" Target="media/image30.wmf" Type="http://schemas.openxmlformats.org/officeDocument/2006/relationships/image"/>
<Relationship Id="rId17" Target="mailto:ncver@ncver.edu.au" TargetMode="External" Type="http://schemas.openxmlformats.org/officeDocument/2006/relationships/hyperlink"/>
<Relationship Id="rId18" Target="media/image4.png" Type="http://schemas.openxmlformats.org/officeDocument/2006/relationships/image"/>
<Relationship Id="rId19" Target="media/image5.png" Type="http://schemas.openxmlformats.org/officeDocument/2006/relationships/image"/>
<Relationship Id="rId2" Target="numbering.xml" Type="http://schemas.openxmlformats.org/officeDocument/2006/relationships/numbering"/>
<Relationship Id="rId20" Target="header1.xml" Type="http://schemas.openxmlformats.org/officeDocument/2006/relationships/header"/>
<Relationship Id="rId21" Target="footer3.xml" Type="http://schemas.openxmlformats.org/officeDocument/2006/relationships/footer"/>
<Relationship Id="rId22" Target="footer4.xml" Type="http://schemas.openxmlformats.org/officeDocument/2006/relationships/footer"/>
<Relationship Id="rId23" Target="http://www.abs.gov.au/AUSSTATS/abs@.nsf/allprimarymainfeatures/59E271C8DE37A1D2CA2573A00011431F?opendocument" TargetMode="External" Type="http://schemas.openxmlformats.org/officeDocument/2006/relationships/hyperlink"/>
<Relationship Id="rId24" Target="https://docs.education.gov.au/system/files/doc/other/see-amep_alignment_report.pdf" TargetMode="External" Type="http://schemas.openxmlformats.org/officeDocument/2006/relationships/hyperlink"/>
<Relationship Id="rId25" Target="http://www.educationcounts.govt.nz/publications/tertiary_education/27773/5727" TargetMode="External" Type="http://schemas.openxmlformats.org/officeDocument/2006/relationships/hyperlink"/>
<Relationship Id="rId26" Target="http://dera.ioe.ac.uk/22305/1/doc_3343.pdf" TargetMode="External" Type="http://schemas.openxmlformats.org/officeDocument/2006/relationships/hyperlink"/>
<Relationship Id="rId27" Target="http://www.nrdc.org.uk/wp-content/uploads/2015/12/Brooks-et-al-Effective-practice-teaching-reading-to-adults.pdf" TargetMode="External" Type="http://schemas.openxmlformats.org/officeDocument/2006/relationships/hyperlink"/>
<Relationship Id="rId28" Target="http://www.nrdc.org.uk/" TargetMode="External" Type="http://schemas.openxmlformats.org/officeDocument/2006/relationships/hyperlink"/>
<Relationship Id="rId29" Target="http://www.nrdc.org.uk/" TargetMode="External" Type="http://schemas.openxmlformats.org/officeDocument/2006/relationships/hyperlink"/>
<Relationship Id="rId3" Target="styles.xml" Type="http://schemas.openxmlformats.org/officeDocument/2006/relationships/styles"/>
<Relationship Id="rId30" Target="http://www.nrdc.org.uk/?p=410" TargetMode="External" Type="http://schemas.openxmlformats.org/officeDocument/2006/relationships/hyperlink"/>
<Relationship Id="rId31" Target="http://eprints.qut.edu.au/32211/1/ACEss_role_in_developing_Australia's_human_capital.pdf" TargetMode="External" Type="http://schemas.openxmlformats.org/officeDocument/2006/relationships/hyperlink"/>
<Relationship Id="rId32" Target="http://eric.ed.gov/?id=ED495456" TargetMode="External" Type="http://schemas.openxmlformats.org/officeDocument/2006/relationships/hyperlink"/>
<Relationship Id="rId33" Target="http://www.education.gov.au/node/5415" TargetMode="External" Type="http://schemas.openxmlformats.org/officeDocument/2006/relationships/hyperlink"/>
<Relationship Id="rId34" Target="http://www.education.gov.au/language-literacy-and-numeracy-practitioner-scholarships-programme" TargetMode="External" Type="http://schemas.openxmlformats.org/officeDocument/2006/relationships/hyperlink"/>
<Relationship Id="rId35" Target="https://www.ala.asn.au/wpcontent/uploads/research/ALA_Report_Dymock_FINAL_18_June.pdf" TargetMode="External" Type="http://schemas.openxmlformats.org/officeDocument/2006/relationships/hyperlink"/>
<Relationship Id="rId36" Target="http://www.acal.edu.au/14conf/docs/Skills-Tasmania-26TEN-Escalier-McLean-Using-ACSF-in-Finer-Grained-Way-2013.pdf" TargetMode="External" Type="http://schemas.openxmlformats.org/officeDocument/2006/relationships/hyperlink"/>
<Relationship Id="rId37" Target="http://dera.ioe.ac.uk/22303/2/doc_3346.pdf" TargetMode="External" Type="http://schemas.openxmlformats.org/officeDocument/2006/relationships/hyperlink"/>
<Relationship Id="rId38" Target="http://www.voced.edu.au/content/ngv%3A38436" TargetMode="External" Type="http://schemas.openxmlformats.org/officeDocument/2006/relationships/hyperlink"/>
<Relationship Id="rId39" Target="http://files.eric.ed.gov/fulltext/ED425351.pdf" TargetMode="External" Type="http://schemas.openxmlformats.org/officeDocument/2006/relationships/hyperlink"/>
<Relationship Id="rId4" Target="stylesWithEffects.xml" Type="http://schemas.microsoft.com/office/2007/relationships/stylesWithEffects"/>
<Relationship Id="rId40" Target="http://www.srdc.org/media/199750/srdc-2014-survey-of-les-workforce.pdf" TargetMode="External" Type="http://schemas.openxmlformats.org/officeDocument/2006/relationships/hyperlink"/>
<Relationship Id="rId41" Target="http://www.nrdc.org.uk/?p=135" TargetMode="External" Type="http://schemas.openxmlformats.org/officeDocument/2006/relationships/hyperlink"/>
<Relationship Id="rId42" Target="https://www.nala.ie/sites/default/files/publications/A%20Literature%20Review%20of%20International%20Adult%20Literacy%20Policies%20110311_1.pdf" TargetMode="External" Type="http://schemas.openxmlformats.org/officeDocument/2006/relationships/hyperlink"/>
<Relationship Id="rId43" Target="https://lincs.ed.gov/professional-development/resource-collections/profile-180" TargetMode="External" Type="http://schemas.openxmlformats.org/officeDocument/2006/relationships/hyperlink"/>
<Relationship Id="rId44" Target="http://www.statcan.gc.ca/pub/89-604-x/89-604-x2011001-eng.pdf" TargetMode="External" Type="http://schemas.openxmlformats.org/officeDocument/2006/relationships/hyperlink"/>
<Relationship Id="rId45" Target="http://www.ncsall.net/index.html@id=652.html" TargetMode="External" Type="http://schemas.openxmlformats.org/officeDocument/2006/relationships/hyperlink"/>
<Relationship Id="rId46" Target="http://www.linc.tas.gov.au/literacy/Pages/literacy-policy.aspx" TargetMode="External" Type="http://schemas.openxmlformats.org/officeDocument/2006/relationships/hyperlink"/>
<Relationship Id="rId47" Target="http://rd.acer.edu.au/article/buried-or-not-whats-happened-to-numeracy" TargetMode="External" Type="http://schemas.openxmlformats.org/officeDocument/2006/relationships/hyperlink"/>
<Relationship Id="rId48" Target="http://unesdoc.unesco.org/images/0000/000028/002898EB.pdf" TargetMode="External" Type="http://schemas.openxmlformats.org/officeDocument/2006/relationships/hyperlink"/>
<Relationship Id="rId49" Target="http://www.unesco.org/bpi/eng/unescopress/2002/02-65e.shtml" TargetMode="External" Type="http://schemas.openxmlformats.org/officeDocument/2006/relationships/hyperlink"/>
<Relationship Id="rId5" Target="settings.xml" Type="http://schemas.openxmlformats.org/officeDocument/2006/relationships/settings"/>
<Relationship Id="rId50" Target="http://victesol.vic.edu.au/index.php/faqs/" TargetMode="External" Type="http://schemas.openxmlformats.org/officeDocument/2006/relationships/hyperlink"/>
<Relationship Id="rId51" Target="https://www.gov.uk/government/uploads/system/uploads/attachment_data/file/32356/11-1418-review-research-on-improving-adult-skills.pdf" TargetMode="External" Type="http://schemas.openxmlformats.org/officeDocument/2006/relationships/hyperlink"/>
<Relationship Id="rId52" Target="http://dx.doi.org.ezproxy.lib.uts.edu.au/10.1787/5jrxnjdd3r5k-en" TargetMode="External" Type="http://schemas.openxmlformats.org/officeDocument/2006/relationships/hyperlink"/>
<Relationship Id="rId53" Target="http://www.air.org/our-work/archive/resource-type/report-19/resource-type/index-1491?page=2" TargetMode="External" Type="http://schemas.openxmlformats.org/officeDocument/2006/relationships/hyperlink"/>
<Relationship Id="rId54" Target="mailto:ncver@ncver.edu.au" TargetMode="External" Type="http://schemas.openxmlformats.org/officeDocument/2006/relationships/hyperlink"/>
<Relationship Id="rId55" Target="http://www.lsay.edu.au" TargetMode="External" Type="http://schemas.openxmlformats.org/officeDocument/2006/relationships/hyperlink"/>
<Relationship Id="rId56" Target="http://twitter.com/ncver" TargetMode="External" Type="http://schemas.openxmlformats.org/officeDocument/2006/relationships/hyperlink"/>
<Relationship Id="rId57" Target="mailto:ncver@ncver.edu.au" TargetMode="External" Type="http://schemas.openxmlformats.org/officeDocument/2006/relationships/hyperlink"/>
<Relationship Id="rId58" Target="http://www.lsay.edu.au" TargetMode="External" Type="http://schemas.openxmlformats.org/officeDocument/2006/relationships/hyperlink"/>
<Relationship Id="rId59" Target="http://twitter.com/ncver" TargetMode="External" Type="http://schemas.openxmlformats.org/officeDocument/2006/relationships/hyperlink"/>
<Relationship Id="rId6" Target="webSettings.xml" Type="http://schemas.openxmlformats.org/officeDocument/2006/relationships/webSettings"/>
<Relationship Id="rId60" Target="media/image7.wmf" Type="http://schemas.openxmlformats.org/officeDocument/2006/relationships/image"/>
<Relationship Id="rId61" Target="media/image8.jpeg" Type="http://schemas.openxmlformats.org/officeDocument/2006/relationships/image"/>
<Relationship Id="rId62" Target="header2.xml" Type="http://schemas.openxmlformats.org/officeDocument/2006/relationships/header"/>
<Relationship Id="rId63" Target="footer5.xml" Type="http://schemas.openxmlformats.org/officeDocument/2006/relationships/footer"/>
<Relationship Id="rId64" Target="footer6.xml" Type="http://schemas.openxmlformats.org/officeDocument/2006/relationships/footer"/>
<Relationship Id="rId65" Target="fontTable.xml" Type="http://schemas.openxmlformats.org/officeDocument/2006/relationships/fontTable"/>
<Relationship Id="rId66" Target="theme/theme1.xml" Type="http://schemas.openxmlformats.org/officeDocument/2006/relationships/theme"/>
<Relationship Id="rId7" Target="footnotes.xml" Type="http://schemas.openxmlformats.org/officeDocument/2006/relationships/footnotes"/>
<Relationship Id="rId8" Target="endnotes.xml" Type="http://schemas.openxmlformats.org/officeDocument/2006/relationships/endnotes"/>
<Relationship Id="rId9" Target="media/image1.jpeg" Type="http://schemas.openxmlformats.org/officeDocument/2006/relationships/image"/>
</Relationships>

</file>

<file path=word/_rels/footnotes.xml.rels><?xml version="1.0" encoding="UTF-8" standalone="no"?>
<Relationships xmlns="http://schemas.openxmlformats.org/package/2006/relationships">
<Relationship Id="rId1" Target="http://www.esdc.gc.ca/en/essential_skills/definitions.page"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6.wmf" Type="http://schemas.openxmlformats.org/officeDocument/2006/relationships/image"/>
</Relationships>

</file>

<file path=word/_rels/settings.xml.rels><?xml version="1.0" encoding="UTF-8" standalone="no"?>
<Relationships xmlns="http://schemas.openxmlformats.org/package/2006/relationships">
<Relationship Id="rId1" Target="file:///g:/ncver/templates/NCVER_Papers&amp;Reports/StandardResearchReportTemplate.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039D2-0F7D-4861-959E-3347126E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40</Pages>
  <Words>17504</Words>
  <Characters>99775</Characters>
  <Application/>
  <DocSecurity>0</DocSecurity>
  <Lines>831</Lines>
  <Paragraphs>234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117045</CharactersWithSpaces>
  <SharedDoc>false</SharedDoc>
  <HLinks>
    <vt:vector baseType="variant" size="156">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