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B5BF8D0" w:rsidR="00791A29" w:rsidRDefault="00597D5F" w:rsidP="00597D5F">
      <w:r w:rsidRPr="00597D5F">
        <w:rPr>
          <w:b/>
          <w:bCs/>
        </w:rPr>
        <w:t>State</w:t>
      </w:r>
      <w:r w:rsidRPr="002452CE">
        <w:rPr>
          <w:b/>
          <w:bCs/>
        </w:rPr>
        <w:t>:</w:t>
      </w:r>
      <w:r w:rsidR="006333C0">
        <w:rPr>
          <w:b/>
          <w:bCs/>
        </w:rPr>
        <w:t xml:space="preserve"> </w:t>
      </w:r>
      <w:r w:rsidR="0058652B">
        <w:rPr>
          <w:b/>
          <w:bCs/>
        </w:rPr>
        <w:t>Louisiana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3D86" w14:textId="77777777" w:rsidR="00D54306" w:rsidRDefault="00D54306" w:rsidP="000B2833">
      <w:pPr>
        <w:spacing w:after="0" w:line="240" w:lineRule="auto"/>
      </w:pPr>
      <w:r>
        <w:separator/>
      </w:r>
    </w:p>
  </w:endnote>
  <w:endnote w:type="continuationSeparator" w:id="0">
    <w:p w14:paraId="1DFCF067" w14:textId="77777777" w:rsidR="00D54306" w:rsidRDefault="00D5430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D767" w14:textId="77777777" w:rsidR="007A2F08" w:rsidRDefault="007A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C92A1A" w:rsidR="000B2833" w:rsidRPr="007A2F08" w:rsidRDefault="000B2833" w:rsidP="007A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9379" w14:textId="77777777" w:rsidR="007A2F08" w:rsidRDefault="007A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DE5A" w14:textId="77777777" w:rsidR="00D54306" w:rsidRDefault="00D54306" w:rsidP="000B2833">
      <w:pPr>
        <w:spacing w:after="0" w:line="240" w:lineRule="auto"/>
      </w:pPr>
      <w:r>
        <w:separator/>
      </w:r>
    </w:p>
  </w:footnote>
  <w:footnote w:type="continuationSeparator" w:id="0">
    <w:p w14:paraId="7D19045D" w14:textId="77777777" w:rsidR="00D54306" w:rsidRDefault="00D5430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0067" w14:textId="77777777" w:rsidR="007A2F08" w:rsidRDefault="007A2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381FD84" w:rsidR="000B2833" w:rsidRPr="007A2F08" w:rsidRDefault="000B2833" w:rsidP="007A2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CF7B" w14:textId="77777777" w:rsidR="007A2F08" w:rsidRDefault="007A2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2F08"/>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4306"/>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1428</Words>
  <Characters>8142</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