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37645B9E" w:rsidR="002A0212" w:rsidRDefault="00597D5F" w:rsidP="00597D5F">
      <w:r w:rsidRPr="00597D5F">
        <w:rPr>
          <w:b/>
          <w:bCs/>
        </w:rPr>
        <w:t>State:</w:t>
      </w:r>
      <w:r w:rsidR="006659A1">
        <w:t xml:space="preserve"> </w:t>
      </w:r>
      <w:r w:rsidR="00205976">
        <w:t>Te</w:t>
      </w:r>
      <w:r w:rsidR="005842AB">
        <w:t>xas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5CAC9AB2" w:rsidR="0072797C" w:rsidRDefault="00B23F3A">
      <w:r>
        <w:t>County of</w:t>
      </w:r>
      <w:r w:rsidR="00462515">
        <w:t xml:space="preserve"> </w:t>
      </w:r>
      <w:r w:rsidR="00462515" w:rsidRPr="00462515">
        <w:rPr>
          <w:highlight w:val="yellow"/>
        </w:rPr>
        <w:t>[COUNTY]</w:t>
      </w:r>
    </w:p>
    <w:p w14:paraId="14A040CF" w14:textId="7992403C" w:rsidR="0041758E" w:rsidRPr="00A37629" w:rsidRDefault="0041758E">
      <w:r>
        <w:rPr>
          <w:rFonts w:eastAsia="Arial" w:cstheme="minorHAnsi"/>
          <w:b/>
          <w:bCs/>
          <w:u w:val="single"/>
        </w:rPr>
        <w:br w:type="page"/>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D6B4" w14:textId="77777777" w:rsidR="00565915" w:rsidRDefault="00565915" w:rsidP="000B2833">
      <w:pPr>
        <w:spacing w:after="0" w:line="240" w:lineRule="auto"/>
      </w:pPr>
      <w:r>
        <w:separator/>
      </w:r>
    </w:p>
  </w:endnote>
  <w:endnote w:type="continuationSeparator" w:id="0">
    <w:p w14:paraId="5733CF53" w14:textId="77777777" w:rsidR="00565915" w:rsidRDefault="0056591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875" w14:textId="77777777" w:rsidR="004C50A8" w:rsidRDefault="004C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B6428F0" w:rsidR="000B2833" w:rsidRPr="004C50A8" w:rsidRDefault="000B2833" w:rsidP="004C5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30A6" w14:textId="77777777" w:rsidR="004C50A8" w:rsidRDefault="004C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489B" w14:textId="77777777" w:rsidR="00565915" w:rsidRDefault="00565915" w:rsidP="000B2833">
      <w:pPr>
        <w:spacing w:after="0" w:line="240" w:lineRule="auto"/>
      </w:pPr>
      <w:r>
        <w:separator/>
      </w:r>
    </w:p>
  </w:footnote>
  <w:footnote w:type="continuationSeparator" w:id="0">
    <w:p w14:paraId="46A73ABA" w14:textId="77777777" w:rsidR="00565915" w:rsidRDefault="0056591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A290" w14:textId="77777777" w:rsidR="004C50A8" w:rsidRDefault="004C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43DFA8C" w:rsidR="000B2833" w:rsidRPr="004C50A8" w:rsidRDefault="000B2833" w:rsidP="004C5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65D2" w14:textId="77777777" w:rsidR="004C50A8" w:rsidRDefault="004C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50A8"/>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915"/>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835</Words>
  <Characters>4766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