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75E5F14" w:rsidR="00603857" w:rsidRDefault="007D0E03" w:rsidP="00603857">
      <w:pPr>
        <w:jc w:val="center"/>
        <w:rPr>
          <w:sz w:val="22"/>
          <w:szCs w:val="22"/>
          <w:lang w:val="en-GB"/>
        </w:rPr>
      </w:pPr>
      <w:r w:rsidRPr="00CE05B2">
        <w:rPr>
          <w:sz w:val="22"/>
          <w:szCs w:val="22"/>
          <w:lang w:val="en-GB"/>
        </w:rPr>
        <w:t xml:space="preserve">State of </w:t>
      </w:r>
      <w:r w:rsidR="00DC1265">
        <w:rPr>
          <w:sz w:val="22"/>
          <w:szCs w:val="22"/>
          <w:lang w:val="en-GB"/>
        </w:rPr>
        <w:t>Te</w:t>
      </w:r>
      <w:r w:rsidR="00834BC0">
        <w:rPr>
          <w:sz w:val="22"/>
          <w:szCs w:val="22"/>
          <w:lang w:val="en-GB"/>
        </w:rPr>
        <w:t>xas</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42C171F5" w14:textId="7BB1AF90" w:rsidR="00834BC0" w:rsidRPr="00CE05B2" w:rsidRDefault="00834BC0" w:rsidP="00834BC0">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when the Tenant vacates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CC508B4"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w:t>
      </w:r>
      <w:r w:rsidR="0021616B">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A192" w14:textId="77777777" w:rsidR="00AC5E5C" w:rsidRDefault="00AC5E5C" w:rsidP="00CB37D9">
      <w:pPr>
        <w:spacing w:after="0" w:line="240" w:lineRule="auto"/>
      </w:pPr>
      <w:r>
        <w:separator/>
      </w:r>
    </w:p>
  </w:endnote>
  <w:endnote w:type="continuationSeparator" w:id="0">
    <w:p w14:paraId="2546FDA1" w14:textId="77777777" w:rsidR="00AC5E5C" w:rsidRDefault="00AC5E5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B537" w14:textId="77777777" w:rsidR="00797EE2" w:rsidRDefault="0079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0623E04" w:rsidR="00CB37D9" w:rsidRPr="00797EE2" w:rsidRDefault="00CB37D9" w:rsidP="00797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0140" w14:textId="77777777" w:rsidR="00797EE2" w:rsidRDefault="0079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5B19" w14:textId="77777777" w:rsidR="00AC5E5C" w:rsidRDefault="00AC5E5C" w:rsidP="00CB37D9">
      <w:pPr>
        <w:spacing w:after="0" w:line="240" w:lineRule="auto"/>
      </w:pPr>
      <w:r>
        <w:separator/>
      </w:r>
    </w:p>
  </w:footnote>
  <w:footnote w:type="continuationSeparator" w:id="0">
    <w:p w14:paraId="22E3C5A9" w14:textId="77777777" w:rsidR="00AC5E5C" w:rsidRDefault="00AC5E5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8BE7" w14:textId="77777777" w:rsidR="00797EE2" w:rsidRDefault="00797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4DA3187" w:rsidR="00AD6FC0" w:rsidRPr="00797EE2" w:rsidRDefault="00AD6FC0" w:rsidP="00797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F1AB" w14:textId="77777777" w:rsidR="00797EE2" w:rsidRDefault="00797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829165">
    <w:abstractNumId w:val="0"/>
  </w:num>
  <w:num w:numId="2" w16cid:durableId="196392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EE2"/>
    <w:rsid w:val="00797F56"/>
    <w:rsid w:val="007A3A6C"/>
    <w:rsid w:val="007D0E03"/>
    <w:rsid w:val="007F1449"/>
    <w:rsid w:val="007F437B"/>
    <w:rsid w:val="0081205B"/>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A17025"/>
    <w:rsid w:val="00A318E0"/>
    <w:rsid w:val="00A37D3B"/>
    <w:rsid w:val="00A56F25"/>
    <w:rsid w:val="00A7469E"/>
    <w:rsid w:val="00A74C22"/>
    <w:rsid w:val="00AA2FF1"/>
    <w:rsid w:val="00AC5E5C"/>
    <w:rsid w:val="00AD6FC0"/>
    <w:rsid w:val="00AE698F"/>
    <w:rsid w:val="00AF215C"/>
    <w:rsid w:val="00B115D0"/>
    <w:rsid w:val="00B32A3C"/>
    <w:rsid w:val="00B4390F"/>
    <w:rsid w:val="00BA3FE3"/>
    <w:rsid w:val="00BC0F62"/>
    <w:rsid w:val="00BC3040"/>
    <w:rsid w:val="00BD5F66"/>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C1265"/>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1863</Words>
  <Characters>10623</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