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23D9E34" w:rsidR="004F1CD0" w:rsidRDefault="00A85F2D" w:rsidP="00725C88">
      <w:pPr>
        <w:jc w:val="center"/>
        <w:rPr>
          <w:sz w:val="36"/>
          <w:szCs w:val="36"/>
          <w:lang w:val="en-GB"/>
        </w:rPr>
      </w:pPr>
      <w:r>
        <w:rPr>
          <w:sz w:val="36"/>
          <w:szCs w:val="36"/>
          <w:lang w:val="en-GB"/>
        </w:rPr>
        <w:t>N</w:t>
      </w:r>
      <w:r w:rsidR="00105E27">
        <w:rPr>
          <w:sz w:val="36"/>
          <w:szCs w:val="36"/>
          <w:lang w:val="en-GB"/>
        </w:rPr>
        <w:t xml:space="preserve">orth </w:t>
      </w:r>
      <w:r w:rsidR="008C33CD">
        <w:rPr>
          <w:sz w:val="36"/>
          <w:szCs w:val="36"/>
          <w:lang w:val="en-GB"/>
        </w:rPr>
        <w:t>Dakota</w:t>
      </w:r>
      <w:r w:rsidR="00105E27">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616F013"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8C33CD">
        <w:rPr>
          <w:sz w:val="22"/>
          <w:szCs w:val="22"/>
          <w:lang w:val="en-GB"/>
        </w:rPr>
        <w:t xml:space="preserve">one </w:t>
      </w:r>
      <w:r w:rsidR="00A85F2D">
        <w:rPr>
          <w:sz w:val="22"/>
          <w:szCs w:val="22"/>
          <w:lang w:val="en-GB"/>
        </w:rPr>
        <w:t>(</w:t>
      </w:r>
      <w:r w:rsidR="008C33CD">
        <w:rPr>
          <w:sz w:val="22"/>
          <w:szCs w:val="22"/>
          <w:lang w:val="en-GB"/>
        </w:rPr>
        <w:t>1</w:t>
      </w:r>
      <w:r w:rsidR="00E56037">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8C33CD">
        <w:rPr>
          <w:sz w:val="22"/>
          <w:szCs w:val="22"/>
          <w:lang w:val="en-GB"/>
        </w:rPr>
        <w:t>30</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7B46" w14:textId="77777777" w:rsidR="0067502D" w:rsidRDefault="0067502D" w:rsidP="00CB37D9">
      <w:pPr>
        <w:spacing w:after="0" w:line="240" w:lineRule="auto"/>
      </w:pPr>
      <w:r>
        <w:separator/>
      </w:r>
    </w:p>
  </w:endnote>
  <w:endnote w:type="continuationSeparator" w:id="0">
    <w:p w14:paraId="4AE7A667" w14:textId="77777777" w:rsidR="0067502D" w:rsidRDefault="0067502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351" w14:textId="77777777" w:rsidR="00365AAC" w:rsidRDefault="0036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098526" w:rsidR="00CB37D9" w:rsidRPr="00365AAC" w:rsidRDefault="00CB37D9" w:rsidP="00365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786F" w14:textId="77777777" w:rsidR="00365AAC" w:rsidRDefault="0036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C04B" w14:textId="77777777" w:rsidR="0067502D" w:rsidRDefault="0067502D" w:rsidP="00CB37D9">
      <w:pPr>
        <w:spacing w:after="0" w:line="240" w:lineRule="auto"/>
      </w:pPr>
      <w:r>
        <w:separator/>
      </w:r>
    </w:p>
  </w:footnote>
  <w:footnote w:type="continuationSeparator" w:id="0">
    <w:p w14:paraId="2A16F84B" w14:textId="77777777" w:rsidR="0067502D" w:rsidRDefault="0067502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6016" w14:textId="77777777" w:rsidR="00365AAC" w:rsidRDefault="00365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51A3F5" w:rsidR="00AD6FC0" w:rsidRPr="00365AAC" w:rsidRDefault="00AD6FC0" w:rsidP="00365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C198" w14:textId="77777777" w:rsidR="00365AAC" w:rsidRDefault="00365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719046">
    <w:abstractNumId w:val="0"/>
  </w:num>
  <w:num w:numId="2" w16cid:durableId="1610698146">
    <w:abstractNumId w:val="3"/>
  </w:num>
  <w:num w:numId="3" w16cid:durableId="481577371">
    <w:abstractNumId w:val="1"/>
  </w:num>
  <w:num w:numId="4" w16cid:durableId="100331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819A6"/>
    <w:rsid w:val="00181BFB"/>
    <w:rsid w:val="001E4D7F"/>
    <w:rsid w:val="001F1098"/>
    <w:rsid w:val="00213AF9"/>
    <w:rsid w:val="00283ABC"/>
    <w:rsid w:val="00291D65"/>
    <w:rsid w:val="002D0FCE"/>
    <w:rsid w:val="00326200"/>
    <w:rsid w:val="00365AAC"/>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33CE"/>
    <w:rsid w:val="00626F48"/>
    <w:rsid w:val="00633B53"/>
    <w:rsid w:val="0065153E"/>
    <w:rsid w:val="00651AD0"/>
    <w:rsid w:val="0067502D"/>
    <w:rsid w:val="006820EC"/>
    <w:rsid w:val="006B481C"/>
    <w:rsid w:val="006C28BC"/>
    <w:rsid w:val="006D2C62"/>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