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1EE43CF0" w:rsidR="000172AA" w:rsidRPr="000172AA" w:rsidRDefault="000172AA" w:rsidP="00E31880">
      <w:pPr>
        <w:jc w:val="center"/>
        <w:rPr>
          <w:b/>
          <w:bCs/>
          <w:sz w:val="32"/>
          <w:szCs w:val="32"/>
        </w:rPr>
      </w:pPr>
      <w:r>
        <w:rPr>
          <w:b/>
          <w:bCs/>
          <w:sz w:val="32"/>
          <w:szCs w:val="32"/>
        </w:rPr>
        <w:t>(</w:t>
      </w:r>
      <w:r w:rsidR="00831783">
        <w:rPr>
          <w:b/>
          <w:bCs/>
          <w:sz w:val="32"/>
          <w:szCs w:val="32"/>
        </w:rPr>
        <w:t>Idaho</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3AA62865" w:rsidR="00C543C7" w:rsidRDefault="00831783" w:rsidP="00E31880">
            <w:pPr>
              <w:rPr>
                <w:sz w:val="22"/>
                <w:szCs w:val="22"/>
              </w:rPr>
            </w:pPr>
            <w:r>
              <w:rPr>
                <w:sz w:val="22"/>
                <w:szCs w:val="22"/>
              </w:rPr>
              <w:t>Idaho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0183" w14:textId="77777777" w:rsidR="00561B7B" w:rsidRDefault="00561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7100898" w:rsidR="00F4034F" w:rsidRPr="00561B7B" w:rsidRDefault="00F4034F" w:rsidP="00561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B11F" w14:textId="77777777" w:rsidR="00561B7B" w:rsidRDefault="00561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A4FC" w14:textId="77777777" w:rsidR="00561B7B" w:rsidRDefault="00561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1B238C0" w:rsidR="00F4034F" w:rsidRPr="00561B7B" w:rsidRDefault="00F4034F" w:rsidP="00561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D42D" w14:textId="77777777" w:rsidR="00561B7B" w:rsidRDefault="00561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725351">
    <w:abstractNumId w:val="1"/>
  </w:num>
  <w:num w:numId="2" w16cid:durableId="1216240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61B7B"/>
    <w:rsid w:val="00570A17"/>
    <w:rsid w:val="005F0103"/>
    <w:rsid w:val="005F7CDF"/>
    <w:rsid w:val="00651AD0"/>
    <w:rsid w:val="006820EC"/>
    <w:rsid w:val="006B481C"/>
    <w:rsid w:val="006D2C62"/>
    <w:rsid w:val="006F5F60"/>
    <w:rsid w:val="00742D5F"/>
    <w:rsid w:val="00752C01"/>
    <w:rsid w:val="007B082D"/>
    <w:rsid w:val="00817C7B"/>
    <w:rsid w:val="00831783"/>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1809</Words>
  <Characters>10314</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12099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